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9D89" w14:textId="77777777" w:rsidR="005C0A15" w:rsidRDefault="005C0A15" w:rsidP="00FE7A02">
      <w:pPr>
        <w:spacing w:before="100" w:beforeAutospacing="1" w:after="100" w:afterAutospacing="1" w:line="266" w:lineRule="atLeast"/>
        <w:jc w:val="both"/>
        <w:outlineLvl w:val="0"/>
        <w:rPr>
          <w:rFonts w:ascii="Invesco Interstate Bold" w:hAnsi="Invesco Interstate Bold"/>
          <w:b/>
          <w:bCs/>
          <w:sz w:val="28"/>
          <w:szCs w:val="28"/>
        </w:rPr>
      </w:pPr>
    </w:p>
    <w:p w14:paraId="5BD92307" w14:textId="43A7DC3D" w:rsidR="00E66DAC" w:rsidRDefault="00140D7F" w:rsidP="00E66DAC">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981A46">
        <w:rPr>
          <w:rFonts w:ascii="Invesco Interstate Bold" w:hAnsi="Invesco Interstate Bold"/>
          <w:b/>
          <w:bCs/>
          <w:sz w:val="28"/>
          <w:szCs w:val="28"/>
        </w:rPr>
        <w:t xml:space="preserve">2024 </w:t>
      </w:r>
      <w:r w:rsidR="004F3D00" w:rsidRPr="004F3D00">
        <w:rPr>
          <w:rFonts w:ascii="Invesco Interstate Bold" w:hAnsi="Invesco Interstate Bold"/>
          <w:b/>
          <w:bCs/>
          <w:sz w:val="28"/>
          <w:szCs w:val="28"/>
        </w:rPr>
        <w:t>–</w:t>
      </w:r>
      <w:r w:rsidR="004F3D00">
        <w:rPr>
          <w:rFonts w:ascii="Invesco Interstate Light" w:eastAsia="MS Mincho" w:hAnsi="Invesco Interstate Light"/>
          <w:sz w:val="22"/>
          <w:szCs w:val="22"/>
          <w:lang w:eastAsia="ja-JP"/>
        </w:rPr>
        <w:t xml:space="preserve"> </w:t>
      </w:r>
      <w:r w:rsidR="004F3D00">
        <w:rPr>
          <w:rFonts w:ascii="Invesco Interstate Bold" w:hAnsi="Invesco Interstate Bold"/>
          <w:b/>
          <w:bCs/>
          <w:sz w:val="28"/>
          <w:szCs w:val="28"/>
        </w:rPr>
        <w:t>Návratnost dluhopisového trhu</w:t>
      </w:r>
    </w:p>
    <w:p w14:paraId="1B0F0D03" w14:textId="266FFBF9" w:rsidR="00B65FF5" w:rsidRPr="00377432" w:rsidRDefault="004F3D00" w:rsidP="00B65FF5">
      <w:pPr>
        <w:spacing w:line="276" w:lineRule="auto"/>
        <w:jc w:val="both"/>
        <w:rPr>
          <w:rFonts w:ascii="Invesco Interstate Light" w:eastAsia="MS Mincho" w:hAnsi="Invesco Interstate Light"/>
          <w:i/>
          <w:iCs/>
          <w:sz w:val="22"/>
          <w:szCs w:val="22"/>
          <w:lang w:eastAsia="ja-JP"/>
        </w:rPr>
      </w:pPr>
      <w:proofErr w:type="spellStart"/>
      <w:r>
        <w:rPr>
          <w:rFonts w:ascii="Invesco Interstate Light" w:eastAsia="MS Mincho" w:hAnsi="Invesco Interstate Light"/>
          <w:i/>
          <w:iCs/>
          <w:sz w:val="22"/>
          <w:szCs w:val="22"/>
          <w:lang w:eastAsia="ja-JP"/>
        </w:rPr>
        <w:t>Alister</w:t>
      </w:r>
      <w:proofErr w:type="spellEnd"/>
      <w:r>
        <w:rPr>
          <w:rFonts w:ascii="Invesco Interstate Light" w:eastAsia="MS Mincho" w:hAnsi="Invesco Interstate Light"/>
          <w:i/>
          <w:iCs/>
          <w:sz w:val="22"/>
          <w:szCs w:val="22"/>
          <w:lang w:eastAsia="ja-JP"/>
        </w:rPr>
        <w:t xml:space="preserve"> Brown</w:t>
      </w:r>
      <w:r w:rsidR="00377432" w:rsidRPr="00377432">
        <w:rPr>
          <w:rFonts w:ascii="Invesco Interstate Light" w:eastAsia="MS Mincho" w:hAnsi="Invesco Interstate Light"/>
          <w:i/>
          <w:iCs/>
          <w:sz w:val="22"/>
          <w:szCs w:val="22"/>
          <w:lang w:eastAsia="ja-JP"/>
        </w:rPr>
        <w:t>,</w:t>
      </w:r>
      <w:r w:rsidR="00614054">
        <w:rPr>
          <w:rFonts w:ascii="Invesco Interstate Light" w:eastAsia="MS Mincho" w:hAnsi="Invesco Interstate Light"/>
          <w:i/>
          <w:iCs/>
          <w:sz w:val="22"/>
          <w:szCs w:val="22"/>
          <w:lang w:eastAsia="ja-JP"/>
        </w:rPr>
        <w:t xml:space="preserve"> </w:t>
      </w:r>
      <w:r>
        <w:rPr>
          <w:rFonts w:ascii="Invesco Interstate Light" w:eastAsia="MS Mincho" w:hAnsi="Invesco Interstate Light"/>
          <w:i/>
          <w:iCs/>
          <w:sz w:val="22"/>
          <w:szCs w:val="22"/>
          <w:lang w:eastAsia="ja-JP"/>
        </w:rPr>
        <w:t xml:space="preserve">produktový </w:t>
      </w:r>
      <w:r w:rsidR="00614054">
        <w:rPr>
          <w:rFonts w:ascii="Invesco Interstate Light" w:eastAsia="MS Mincho" w:hAnsi="Invesco Interstate Light"/>
          <w:i/>
          <w:iCs/>
          <w:sz w:val="22"/>
          <w:szCs w:val="22"/>
          <w:lang w:eastAsia="ja-JP"/>
        </w:rPr>
        <w:t>ředitel</w:t>
      </w:r>
      <w:r w:rsidR="005E4C3B">
        <w:rPr>
          <w:rFonts w:ascii="Invesco Interstate Light" w:eastAsia="MS Mincho" w:hAnsi="Invesco Interstate Light"/>
          <w:i/>
          <w:iCs/>
          <w:sz w:val="22"/>
          <w:szCs w:val="22"/>
          <w:lang w:eastAsia="ja-JP"/>
        </w:rPr>
        <w:t xml:space="preserve"> </w:t>
      </w:r>
      <w:r w:rsidR="00614054">
        <w:rPr>
          <w:rFonts w:ascii="Invesco Interstate Light" w:eastAsia="MS Mincho" w:hAnsi="Invesco Interstate Light"/>
          <w:i/>
          <w:iCs/>
          <w:sz w:val="22"/>
          <w:szCs w:val="22"/>
          <w:lang w:eastAsia="ja-JP"/>
        </w:rPr>
        <w:t>společnost</w:t>
      </w:r>
      <w:r>
        <w:rPr>
          <w:rFonts w:ascii="Invesco Interstate Light" w:eastAsia="MS Mincho" w:hAnsi="Invesco Interstate Light"/>
          <w:i/>
          <w:iCs/>
          <w:sz w:val="22"/>
          <w:szCs w:val="22"/>
          <w:lang w:eastAsia="ja-JP"/>
        </w:rPr>
        <w:t>i</w:t>
      </w:r>
      <w:r w:rsidR="00614054">
        <w:rPr>
          <w:rFonts w:ascii="Invesco Interstate Light" w:eastAsia="MS Mincho" w:hAnsi="Invesco Interstate Light"/>
          <w:i/>
          <w:iCs/>
          <w:sz w:val="22"/>
          <w:szCs w:val="22"/>
          <w:lang w:eastAsia="ja-JP"/>
        </w:rPr>
        <w:t xml:space="preserve"> </w:t>
      </w:r>
      <w:proofErr w:type="spellStart"/>
      <w:r w:rsidR="00614054">
        <w:rPr>
          <w:rFonts w:ascii="Invesco Interstate Light" w:eastAsia="MS Mincho" w:hAnsi="Invesco Interstate Light"/>
          <w:i/>
          <w:iCs/>
          <w:sz w:val="22"/>
          <w:szCs w:val="22"/>
          <w:lang w:eastAsia="ja-JP"/>
        </w:rPr>
        <w:t>Invesco</w:t>
      </w:r>
      <w:proofErr w:type="spellEnd"/>
    </w:p>
    <w:p w14:paraId="707D2CDF" w14:textId="5C21D571" w:rsidR="00334096" w:rsidRPr="00163441" w:rsidRDefault="004F3D00" w:rsidP="00334096">
      <w:pPr>
        <w:pStyle w:val="Normlnweb"/>
        <w:numPr>
          <w:ilvl w:val="0"/>
          <w:numId w:val="30"/>
        </w:numPr>
        <w:jc w:val="both"/>
        <w:rPr>
          <w:rFonts w:ascii="Invesco Interstate Light" w:hAnsi="Invesco Interstate Light"/>
          <w:b/>
          <w:bCs/>
          <w:sz w:val="22"/>
          <w:szCs w:val="22"/>
        </w:rPr>
      </w:pPr>
      <w:r>
        <w:rPr>
          <w:rFonts w:ascii="Invesco Interstate Light" w:hAnsi="Invesco Interstate Light"/>
          <w:b/>
          <w:bCs/>
          <w:sz w:val="22"/>
          <w:szCs w:val="22"/>
        </w:rPr>
        <w:t xml:space="preserve">Po náročných letech 2022 a 2023 by mohly klesající úrokové sazby zatraktivnit dluhopisy oproti hotovosti. </w:t>
      </w:r>
    </w:p>
    <w:p w14:paraId="0D2F4A25" w14:textId="55B24553" w:rsidR="00334096" w:rsidRPr="00163441" w:rsidRDefault="004F3D00" w:rsidP="00334096">
      <w:pPr>
        <w:pStyle w:val="Normlnweb"/>
        <w:numPr>
          <w:ilvl w:val="0"/>
          <w:numId w:val="30"/>
        </w:numPr>
        <w:jc w:val="both"/>
        <w:rPr>
          <w:rFonts w:ascii="Invesco Interstate Light" w:hAnsi="Invesco Interstate Light"/>
          <w:b/>
          <w:bCs/>
          <w:sz w:val="22"/>
          <w:szCs w:val="22"/>
        </w:rPr>
      </w:pPr>
      <w:r>
        <w:rPr>
          <w:rFonts w:ascii="Invesco Interstate Light" w:hAnsi="Invesco Interstate Light"/>
          <w:b/>
          <w:bCs/>
          <w:sz w:val="22"/>
          <w:szCs w:val="22"/>
        </w:rPr>
        <w:t>U dluhopisů s investičním stupněm proběhlo mnoho příznivě oceněných nových emisí napříč sektory.</w:t>
      </w:r>
    </w:p>
    <w:p w14:paraId="28644A50" w14:textId="01A4268E" w:rsidR="00B65FF5" w:rsidRPr="00163441" w:rsidRDefault="004F3D00" w:rsidP="00334096">
      <w:pPr>
        <w:pStyle w:val="Normlnweb"/>
        <w:numPr>
          <w:ilvl w:val="0"/>
          <w:numId w:val="30"/>
        </w:numPr>
        <w:jc w:val="both"/>
        <w:rPr>
          <w:rFonts w:ascii="Invesco Interstate Light" w:hAnsi="Invesco Interstate Light"/>
          <w:b/>
          <w:bCs/>
          <w:sz w:val="22"/>
          <w:szCs w:val="22"/>
        </w:rPr>
      </w:pPr>
      <w:r>
        <w:rPr>
          <w:rFonts w:ascii="Invesco Interstate Light" w:hAnsi="Invesco Interstate Light"/>
          <w:b/>
          <w:bCs/>
          <w:sz w:val="22"/>
          <w:szCs w:val="22"/>
        </w:rPr>
        <w:t xml:space="preserve">V případě dluhopisů z vysokých výnosů jsme opatrnější, ale domníváme se, že některé sektory by mohly přinést pozitivní výnosy díky impulsu z vyššího počátečního výnosu na trhu. </w:t>
      </w:r>
    </w:p>
    <w:p w14:paraId="5868F8CF" w14:textId="105E2746" w:rsidR="00007DDF" w:rsidRPr="00007DDF" w:rsidRDefault="004F3D00" w:rsidP="00981A46">
      <w:pPr>
        <w:spacing w:line="276"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Zdá se, že rok 2024 nabídne investorům dobrý vstup do této třídy aktiv. </w:t>
      </w:r>
    </w:p>
    <w:p w14:paraId="28A5F0E0" w14:textId="77777777" w:rsidR="001A4B43" w:rsidRDefault="001A4B43" w:rsidP="001A4B43">
      <w:pPr>
        <w:spacing w:line="240" w:lineRule="auto"/>
        <w:rPr>
          <w:rFonts w:ascii="Arial" w:hAnsi="Arial" w:cs="Arial"/>
          <w:color w:val="000000"/>
          <w:lang w:eastAsia="cs-CZ"/>
        </w:rPr>
      </w:pPr>
    </w:p>
    <w:p w14:paraId="21588001" w14:textId="77777777" w:rsidR="001A4B43" w:rsidRDefault="001A4B43" w:rsidP="001A4B43">
      <w:pPr>
        <w:spacing w:line="360" w:lineRule="auto"/>
        <w:jc w:val="both"/>
        <w:rPr>
          <w:rFonts w:ascii="Invesco Interstate Light" w:eastAsia="MS Mincho" w:hAnsi="Invesco Interstate Light"/>
          <w:sz w:val="22"/>
          <w:szCs w:val="22"/>
          <w:lang w:eastAsia="ja-JP"/>
        </w:rPr>
      </w:pPr>
      <w:r w:rsidRPr="001A4B43">
        <w:rPr>
          <w:rFonts w:ascii="Invesco Interstate Light" w:eastAsia="MS Mincho" w:hAnsi="Invesco Interstate Light"/>
          <w:sz w:val="22"/>
          <w:szCs w:val="22"/>
          <w:lang w:eastAsia="ja-JP"/>
        </w:rPr>
        <w:t>Rokům 2022 i 2023 dominovala vysoká inflace a zvyšování úrokových sazeb, což vedlo k prudkému přecenění částí trhu citlivějších na duraci – tedy státních dluhopisů a korporátních dluhopisů investičního stupně. „</w:t>
      </w:r>
      <w:r w:rsidRPr="001A4B43">
        <w:rPr>
          <w:rFonts w:ascii="Invesco Interstate Light" w:eastAsia="MS Mincho" w:hAnsi="Invesco Interstate Light"/>
          <w:i/>
          <w:iCs/>
          <w:sz w:val="22"/>
          <w:szCs w:val="22"/>
          <w:lang w:eastAsia="ja-JP"/>
        </w:rPr>
        <w:t>Trhy korporátních dluhopisů s vysokým výnosem si vedly lépe, my jsme ale nyní opatrnější, pokud jde o dopad zvýšených nákladů na refinancování a zhoršujícího se ekonomického prostředí na emitenty z řad podniků s vyšší mírou zadlužení,“</w:t>
      </w:r>
      <w:r w:rsidRPr="001A4B43">
        <w:rPr>
          <w:rFonts w:ascii="Invesco Interstate Light" w:eastAsia="MS Mincho" w:hAnsi="Invesco Interstate Light"/>
          <w:sz w:val="22"/>
          <w:szCs w:val="22"/>
          <w:lang w:eastAsia="ja-JP"/>
        </w:rPr>
        <w:t xml:space="preserve"> říká </w:t>
      </w:r>
      <w:proofErr w:type="spellStart"/>
      <w:r w:rsidRPr="001A4B43">
        <w:rPr>
          <w:rFonts w:ascii="Invesco Interstate Light" w:eastAsia="MS Mincho" w:hAnsi="Invesco Interstate Light"/>
          <w:sz w:val="22"/>
          <w:szCs w:val="22"/>
          <w:lang w:eastAsia="ja-JP"/>
        </w:rPr>
        <w:t>Alister</w:t>
      </w:r>
      <w:proofErr w:type="spellEnd"/>
      <w:r w:rsidRPr="001A4B43">
        <w:rPr>
          <w:rFonts w:ascii="Invesco Interstate Light" w:eastAsia="MS Mincho" w:hAnsi="Invesco Interstate Light"/>
          <w:sz w:val="22"/>
          <w:szCs w:val="22"/>
          <w:lang w:eastAsia="ja-JP"/>
        </w:rPr>
        <w:t xml:space="preserve"> Brown, produktový ředitel společnosti </w:t>
      </w:r>
      <w:proofErr w:type="spellStart"/>
      <w:r w:rsidRPr="001A4B43">
        <w:rPr>
          <w:rFonts w:ascii="Invesco Interstate Light" w:eastAsia="MS Mincho" w:hAnsi="Invesco Interstate Light"/>
          <w:sz w:val="22"/>
          <w:szCs w:val="22"/>
          <w:lang w:eastAsia="ja-JP"/>
        </w:rPr>
        <w:t>Invesco.</w:t>
      </w:r>
      <w:proofErr w:type="spellEnd"/>
    </w:p>
    <w:p w14:paraId="5F127BDC" w14:textId="77777777" w:rsidR="001A4B43" w:rsidRPr="001A4B43" w:rsidRDefault="001A4B43" w:rsidP="001A4B43">
      <w:pPr>
        <w:spacing w:line="240" w:lineRule="auto"/>
        <w:rPr>
          <w:rFonts w:ascii="Arial" w:hAnsi="Arial" w:cs="Arial"/>
          <w:color w:val="000000"/>
          <w:lang w:eastAsia="cs-CZ"/>
        </w:rPr>
      </w:pPr>
    </w:p>
    <w:p w14:paraId="045A6C16" w14:textId="2F3CA4A9" w:rsidR="001A4B43" w:rsidRDefault="001A4B43" w:rsidP="001A4B43">
      <w:pPr>
        <w:spacing w:line="360" w:lineRule="auto"/>
        <w:jc w:val="both"/>
        <w:rPr>
          <w:rFonts w:ascii="Invesco Interstate Light" w:eastAsia="MS Mincho" w:hAnsi="Invesco Interstate Light"/>
          <w:sz w:val="22"/>
          <w:szCs w:val="22"/>
          <w:lang w:eastAsia="ja-JP"/>
        </w:rPr>
      </w:pPr>
      <w:r w:rsidRPr="001A4B43">
        <w:rPr>
          <w:rFonts w:ascii="Invesco Interstate Light" w:eastAsia="MS Mincho" w:hAnsi="Invesco Interstate Light"/>
          <w:sz w:val="22"/>
          <w:szCs w:val="22"/>
          <w:lang w:eastAsia="ja-JP"/>
        </w:rPr>
        <w:t>Současně se investorům podařilo najít atraktivní sazby peněžních úspor. Proč se domníváme, že dluhopisové trhy, a zejména kvalitnější podnikoví emitenti, nyní nabízejí atraktivní příležitost? Co může investory zlákat k tomu, aby opustili hotovost?</w:t>
      </w:r>
    </w:p>
    <w:p w14:paraId="594A785E" w14:textId="77777777" w:rsidR="00AD156E" w:rsidRPr="00AD156E" w:rsidRDefault="00AD156E" w:rsidP="00AD156E">
      <w:pPr>
        <w:spacing w:line="240" w:lineRule="auto"/>
        <w:rPr>
          <w:rFonts w:ascii="Arial" w:hAnsi="Arial" w:cs="Arial"/>
          <w:color w:val="000000"/>
          <w:lang w:eastAsia="cs-CZ"/>
        </w:rPr>
      </w:pPr>
    </w:p>
    <w:p w14:paraId="62648BB2" w14:textId="643662A6" w:rsidR="00AD156E" w:rsidRPr="001A4B43" w:rsidRDefault="00AD156E" w:rsidP="00AD156E">
      <w:pPr>
        <w:spacing w:line="360" w:lineRule="auto"/>
        <w:jc w:val="both"/>
        <w:rPr>
          <w:rFonts w:ascii="Invesco Interstate Light" w:eastAsia="MS Mincho" w:hAnsi="Invesco Interstate Light"/>
          <w:sz w:val="22"/>
          <w:szCs w:val="22"/>
          <w:lang w:eastAsia="ja-JP"/>
        </w:rPr>
      </w:pPr>
      <w:r w:rsidRPr="00AD156E">
        <w:rPr>
          <w:rFonts w:ascii="Invesco Interstate Light" w:eastAsia="MS Mincho" w:hAnsi="Invesco Interstate Light"/>
          <w:sz w:val="22"/>
          <w:szCs w:val="22"/>
          <w:lang w:eastAsia="ja-JP"/>
        </w:rPr>
        <w:t>V posledních měsících roku 2023 došlo na dluhopisovém trhu k silné rallye díky rostoucímu optimismu ohledně rychlého a výrazného snížení sazeb. Rok 2024 však začal s tím, že centrální banky se postavily proti očekáváním trhu. Trhy část svých zisků odevzdaly. Výnosy na trzích dluhopisů investičního stupně jsou atraktivní oproti úrovním, které jsme viděli v uplynulém desetiletí.</w:t>
      </w:r>
    </w:p>
    <w:p w14:paraId="30690B71" w14:textId="77777777" w:rsidR="001A4B43" w:rsidRDefault="001A4B43" w:rsidP="001A4B43">
      <w:pPr>
        <w:spacing w:line="240" w:lineRule="auto"/>
        <w:rPr>
          <w:rFonts w:ascii="Arial" w:hAnsi="Arial" w:cs="Arial"/>
          <w:color w:val="000000"/>
          <w:lang w:eastAsia="cs-CZ"/>
        </w:rPr>
      </w:pPr>
    </w:p>
    <w:p w14:paraId="6777126A" w14:textId="77777777" w:rsidR="00230CCE" w:rsidRDefault="00230CCE" w:rsidP="001A4B43">
      <w:pPr>
        <w:spacing w:line="360" w:lineRule="auto"/>
        <w:jc w:val="both"/>
        <w:rPr>
          <w:rFonts w:ascii="Invesco Interstate Light" w:hAnsi="Invesco Interstate Light"/>
          <w:b/>
          <w:bCs/>
          <w:sz w:val="22"/>
          <w:szCs w:val="22"/>
        </w:rPr>
      </w:pPr>
    </w:p>
    <w:p w14:paraId="4D7B5C02" w14:textId="77777777" w:rsidR="00230CCE" w:rsidRDefault="00230CCE" w:rsidP="001A4B43">
      <w:pPr>
        <w:spacing w:line="360" w:lineRule="auto"/>
        <w:jc w:val="both"/>
        <w:rPr>
          <w:rFonts w:ascii="Invesco Interstate Light" w:hAnsi="Invesco Interstate Light"/>
          <w:b/>
          <w:bCs/>
          <w:sz w:val="22"/>
          <w:szCs w:val="22"/>
        </w:rPr>
      </w:pPr>
    </w:p>
    <w:p w14:paraId="719C1C17" w14:textId="77777777" w:rsidR="00230CCE" w:rsidRDefault="00230CCE" w:rsidP="001A4B43">
      <w:pPr>
        <w:spacing w:line="360" w:lineRule="auto"/>
        <w:jc w:val="both"/>
        <w:rPr>
          <w:rFonts w:ascii="Invesco Interstate Light" w:hAnsi="Invesco Interstate Light"/>
          <w:b/>
          <w:bCs/>
          <w:sz w:val="22"/>
          <w:szCs w:val="22"/>
        </w:rPr>
      </w:pPr>
    </w:p>
    <w:p w14:paraId="3A50F998" w14:textId="77777777" w:rsidR="00230CCE" w:rsidRDefault="00230CCE" w:rsidP="001A4B43">
      <w:pPr>
        <w:spacing w:line="360" w:lineRule="auto"/>
        <w:jc w:val="both"/>
        <w:rPr>
          <w:rFonts w:ascii="Invesco Interstate Light" w:hAnsi="Invesco Interstate Light"/>
          <w:b/>
          <w:bCs/>
          <w:sz w:val="22"/>
          <w:szCs w:val="22"/>
        </w:rPr>
      </w:pPr>
    </w:p>
    <w:p w14:paraId="194C2F41" w14:textId="77777777" w:rsidR="00230CCE" w:rsidRDefault="00230CCE" w:rsidP="001A4B43">
      <w:pPr>
        <w:spacing w:line="360" w:lineRule="auto"/>
        <w:jc w:val="both"/>
        <w:rPr>
          <w:rFonts w:ascii="Invesco Interstate Light" w:hAnsi="Invesco Interstate Light"/>
          <w:b/>
          <w:bCs/>
          <w:sz w:val="22"/>
          <w:szCs w:val="22"/>
        </w:rPr>
      </w:pPr>
    </w:p>
    <w:p w14:paraId="740E11B0" w14:textId="77777777" w:rsidR="00230CCE" w:rsidRDefault="00230CCE" w:rsidP="001A4B43">
      <w:pPr>
        <w:spacing w:line="360" w:lineRule="auto"/>
        <w:jc w:val="both"/>
        <w:rPr>
          <w:rFonts w:ascii="Invesco Interstate Light" w:hAnsi="Invesco Interstate Light"/>
          <w:b/>
          <w:bCs/>
          <w:sz w:val="22"/>
          <w:szCs w:val="22"/>
        </w:rPr>
      </w:pPr>
    </w:p>
    <w:p w14:paraId="7FA32222" w14:textId="77777777" w:rsidR="00230CCE" w:rsidRDefault="00230CCE" w:rsidP="001A4B43">
      <w:pPr>
        <w:spacing w:line="360" w:lineRule="auto"/>
        <w:jc w:val="both"/>
        <w:rPr>
          <w:rFonts w:ascii="Invesco Interstate Light" w:hAnsi="Invesco Interstate Light"/>
          <w:b/>
          <w:bCs/>
          <w:sz w:val="22"/>
          <w:szCs w:val="22"/>
        </w:rPr>
      </w:pPr>
    </w:p>
    <w:p w14:paraId="47E4FA85" w14:textId="5AC98293" w:rsidR="007B15E7" w:rsidRPr="007B15E7" w:rsidRDefault="00230CCE" w:rsidP="001A4B43">
      <w:pPr>
        <w:spacing w:line="360"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 xml:space="preserve">Graf 1: Index dluhopisů investičního stupně </w:t>
      </w:r>
      <w:r w:rsidRPr="00230CCE">
        <w:rPr>
          <w:rFonts w:ascii="Invesco Interstate Light" w:hAnsi="Invesco Interstate Light"/>
          <w:b/>
          <w:bCs/>
          <w:sz w:val="22"/>
          <w:szCs w:val="22"/>
        </w:rPr>
        <w:t>–</w:t>
      </w:r>
      <w:r>
        <w:rPr>
          <w:rFonts w:ascii="Invesco Interstate Light" w:hAnsi="Invesco Interstate Light"/>
          <w:b/>
          <w:bCs/>
          <w:sz w:val="22"/>
          <w:szCs w:val="22"/>
        </w:rPr>
        <w:t xml:space="preserve"> výnos do splatnosti</w:t>
      </w:r>
    </w:p>
    <w:p w14:paraId="5CB4FF5F" w14:textId="7328FB5E" w:rsidR="00981A46" w:rsidRDefault="00230CCE" w:rsidP="00981A46">
      <w:pPr>
        <w:spacing w:line="240" w:lineRule="auto"/>
        <w:rPr>
          <w:rFonts w:ascii="Arial" w:hAnsi="Arial" w:cs="Arial"/>
          <w:color w:val="000000"/>
          <w:sz w:val="24"/>
          <w:szCs w:val="24"/>
          <w:lang w:eastAsia="cs-CZ"/>
        </w:rPr>
      </w:pPr>
      <w:r w:rsidRPr="00230CCE">
        <w:rPr>
          <w:rFonts w:ascii="Arial" w:hAnsi="Arial" w:cs="Arial"/>
          <w:color w:val="000000"/>
          <w:sz w:val="24"/>
          <w:szCs w:val="24"/>
          <w:lang w:eastAsia="cs-CZ"/>
        </w:rPr>
        <w:drawing>
          <wp:inline distT="0" distB="0" distL="0" distR="0" wp14:anchorId="06403C97" wp14:editId="69610EA5">
            <wp:extent cx="5189670" cy="2667231"/>
            <wp:effectExtent l="0" t="0" r="0" b="0"/>
            <wp:docPr id="18091687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68737" name=""/>
                    <pic:cNvPicPr/>
                  </pic:nvPicPr>
                  <pic:blipFill>
                    <a:blip r:embed="rId11"/>
                    <a:stretch>
                      <a:fillRect/>
                    </a:stretch>
                  </pic:blipFill>
                  <pic:spPr>
                    <a:xfrm>
                      <a:off x="0" y="0"/>
                      <a:ext cx="5189670" cy="2667231"/>
                    </a:xfrm>
                    <a:prstGeom prst="rect">
                      <a:avLst/>
                    </a:prstGeom>
                  </pic:spPr>
                </pic:pic>
              </a:graphicData>
            </a:graphic>
          </wp:inline>
        </w:drawing>
      </w:r>
    </w:p>
    <w:p w14:paraId="2291C4A6" w14:textId="3746F030" w:rsidR="00230CCE" w:rsidRPr="00230CCE" w:rsidRDefault="00230CCE" w:rsidP="00981A46">
      <w:pPr>
        <w:spacing w:line="240" w:lineRule="auto"/>
        <w:rPr>
          <w:rFonts w:ascii="Invesco Interstate Light" w:eastAsia="MS Mincho" w:hAnsi="Invesco Interstate Light"/>
          <w:i/>
          <w:iCs/>
          <w:lang w:eastAsia="ja-JP"/>
        </w:rPr>
      </w:pPr>
      <w:r w:rsidRPr="00230CCE">
        <w:rPr>
          <w:rFonts w:ascii="Invesco Interstate Light" w:eastAsia="MS Mincho" w:hAnsi="Invesco Interstate Light"/>
          <w:i/>
          <w:iCs/>
          <w:lang w:eastAsia="ja-JP"/>
        </w:rPr>
        <w:t xml:space="preserve">Zdroj: </w:t>
      </w:r>
      <w:proofErr w:type="spellStart"/>
      <w:r w:rsidRPr="00230CCE">
        <w:rPr>
          <w:rFonts w:ascii="Invesco Interstate Light" w:eastAsia="MS Mincho" w:hAnsi="Invesco Interstate Light"/>
          <w:i/>
          <w:iCs/>
          <w:lang w:eastAsia="ja-JP"/>
        </w:rPr>
        <w:t>Makrobond</w:t>
      </w:r>
      <w:proofErr w:type="spellEnd"/>
      <w:r w:rsidRPr="00230CCE">
        <w:rPr>
          <w:rFonts w:ascii="Invesco Interstate Light" w:eastAsia="MS Mincho" w:hAnsi="Invesco Interstate Light"/>
          <w:i/>
          <w:iCs/>
          <w:lang w:eastAsia="ja-JP"/>
        </w:rPr>
        <w:t xml:space="preserve">, indexy ICE </w:t>
      </w:r>
      <w:proofErr w:type="spellStart"/>
      <w:r w:rsidRPr="00230CCE">
        <w:rPr>
          <w:rFonts w:ascii="Invesco Interstate Light" w:eastAsia="MS Mincho" w:hAnsi="Invesco Interstate Light"/>
          <w:i/>
          <w:iCs/>
          <w:lang w:eastAsia="ja-JP"/>
        </w:rPr>
        <w:t>BofA</w:t>
      </w:r>
      <w:proofErr w:type="spellEnd"/>
      <w:r w:rsidRPr="00230CCE">
        <w:rPr>
          <w:rFonts w:ascii="Invesco Interstate Light" w:eastAsia="MS Mincho" w:hAnsi="Invesco Interstate Light"/>
          <w:i/>
          <w:iCs/>
          <w:lang w:eastAsia="ja-JP"/>
        </w:rPr>
        <w:t>, k 31/1/24</w:t>
      </w:r>
      <w:r w:rsidRPr="00230CCE">
        <w:rPr>
          <w:rFonts w:ascii="Invesco Interstate Light" w:eastAsia="MS Mincho" w:hAnsi="Invesco Interstate Light"/>
          <w:i/>
          <w:iCs/>
          <w:lang w:eastAsia="ja-JP"/>
        </w:rPr>
        <w:t>.</w:t>
      </w:r>
    </w:p>
    <w:p w14:paraId="71D6A4FD" w14:textId="77777777" w:rsidR="00230CCE" w:rsidRDefault="00230CCE" w:rsidP="00981A46">
      <w:pPr>
        <w:spacing w:line="276" w:lineRule="auto"/>
        <w:jc w:val="both"/>
        <w:rPr>
          <w:rFonts w:ascii="Invesco Interstate Light" w:eastAsia="MS Mincho" w:hAnsi="Invesco Interstate Light"/>
          <w:sz w:val="22"/>
          <w:szCs w:val="22"/>
          <w:lang w:eastAsia="ja-JP"/>
        </w:rPr>
      </w:pPr>
    </w:p>
    <w:p w14:paraId="428F5B0C" w14:textId="77777777" w:rsidR="00515B0A" w:rsidRPr="00515B0A" w:rsidRDefault="00515B0A" w:rsidP="00515B0A">
      <w:pPr>
        <w:spacing w:line="360" w:lineRule="auto"/>
        <w:jc w:val="both"/>
        <w:rPr>
          <w:rFonts w:ascii="Invesco Interstate Light" w:eastAsia="MS Mincho" w:hAnsi="Invesco Interstate Light"/>
          <w:sz w:val="22"/>
          <w:szCs w:val="22"/>
          <w:lang w:eastAsia="ja-JP"/>
        </w:rPr>
      </w:pPr>
      <w:r w:rsidRPr="00515B0A">
        <w:rPr>
          <w:rFonts w:ascii="Invesco Interstate Light" w:eastAsia="MS Mincho" w:hAnsi="Invesco Interstate Light"/>
          <w:sz w:val="22"/>
          <w:szCs w:val="22"/>
          <w:lang w:eastAsia="ja-JP"/>
        </w:rPr>
        <w:t>Trh s novými emisemi nám poskytl mnoho příležitostí v celé řadě různých typů dluhopisů. Patří mezi ně dluhopisy investičního stupně, podnikové hybridy a podřízené finanční dluhopisy. Jednou z oblastí, kde jsme byli mimořádně selektivní, jsou dluhopisy s vysokým výnosem.</w:t>
      </w:r>
    </w:p>
    <w:p w14:paraId="4E07475C" w14:textId="4F1E5309" w:rsidR="00F07843" w:rsidRDefault="00F07843" w:rsidP="00F07843">
      <w:pPr>
        <w:spacing w:line="240" w:lineRule="auto"/>
        <w:rPr>
          <w:rFonts w:ascii="Invesco Interstate Light" w:hAnsi="Invesco Interstate Light"/>
          <w:b/>
          <w:bCs/>
          <w:sz w:val="22"/>
          <w:szCs w:val="22"/>
        </w:rPr>
      </w:pPr>
      <w:r>
        <w:rPr>
          <w:rFonts w:ascii="Invesco Interstate Light" w:hAnsi="Invesco Interstate Light"/>
          <w:b/>
          <w:bCs/>
          <w:sz w:val="22"/>
          <w:szCs w:val="22"/>
        </w:rPr>
        <w:br/>
        <w:t>Proč se nám líbí dluhopisy s investičním stupněm?</w:t>
      </w:r>
    </w:p>
    <w:p w14:paraId="25B5E544" w14:textId="77777777" w:rsidR="00981A46" w:rsidRPr="00981A46" w:rsidRDefault="00981A46" w:rsidP="00981A46">
      <w:pPr>
        <w:spacing w:line="276" w:lineRule="auto"/>
        <w:jc w:val="both"/>
        <w:rPr>
          <w:rFonts w:ascii="Invesco Interstate Light" w:eastAsia="MS Mincho" w:hAnsi="Invesco Interstate Light"/>
          <w:sz w:val="22"/>
          <w:szCs w:val="22"/>
          <w:lang w:eastAsia="ja-JP"/>
        </w:rPr>
      </w:pPr>
    </w:p>
    <w:p w14:paraId="05660988" w14:textId="77777777" w:rsidR="003A6431" w:rsidRDefault="003A6431" w:rsidP="003A6431">
      <w:pPr>
        <w:spacing w:line="360" w:lineRule="auto"/>
        <w:jc w:val="both"/>
        <w:rPr>
          <w:rFonts w:ascii="Invesco Interstate Light" w:eastAsia="MS Mincho" w:hAnsi="Invesco Interstate Light"/>
          <w:sz w:val="22"/>
          <w:szCs w:val="22"/>
          <w:lang w:eastAsia="ja-JP"/>
        </w:rPr>
      </w:pPr>
      <w:r w:rsidRPr="003A6431">
        <w:rPr>
          <w:rFonts w:ascii="Invesco Interstate Light" w:eastAsia="MS Mincho" w:hAnsi="Invesco Interstate Light"/>
          <w:sz w:val="22"/>
          <w:szCs w:val="22"/>
          <w:lang w:eastAsia="ja-JP"/>
        </w:rPr>
        <w:t xml:space="preserve">V investičním stupni jsou sice úvěrové spready úzké, což odráží zdravé fundamenty, ale atraktivní výnosy a relativně nízké množství nových emisí způsobují příliv do této třídy aktiv. </w:t>
      </w:r>
      <w:r w:rsidRPr="003A6431">
        <w:rPr>
          <w:rFonts w:ascii="Invesco Interstate Light" w:eastAsia="MS Mincho" w:hAnsi="Invesco Interstate Light"/>
          <w:i/>
          <w:iCs/>
          <w:sz w:val="22"/>
          <w:szCs w:val="22"/>
          <w:lang w:eastAsia="ja-JP"/>
        </w:rPr>
        <w:t>„Zaznamenali jsme ale značné množství nových emisí, které jsou podle našeho názoru dobře oceněny, a to napříč dalšími oblastmi,“</w:t>
      </w:r>
      <w:r w:rsidRPr="003A6431">
        <w:rPr>
          <w:rFonts w:ascii="Invesco Interstate Light" w:eastAsia="MS Mincho" w:hAnsi="Invesco Interstate Light"/>
          <w:sz w:val="22"/>
          <w:szCs w:val="22"/>
          <w:lang w:eastAsia="ja-JP"/>
        </w:rPr>
        <w:t xml:space="preserve"> uvádí </w:t>
      </w:r>
      <w:proofErr w:type="spellStart"/>
      <w:r w:rsidRPr="003A6431">
        <w:rPr>
          <w:rFonts w:ascii="Invesco Interstate Light" w:eastAsia="MS Mincho" w:hAnsi="Invesco Interstate Light"/>
          <w:sz w:val="22"/>
          <w:szCs w:val="22"/>
          <w:lang w:eastAsia="ja-JP"/>
        </w:rPr>
        <w:t>Alister</w:t>
      </w:r>
      <w:proofErr w:type="spellEnd"/>
      <w:r w:rsidRPr="003A6431">
        <w:rPr>
          <w:rFonts w:ascii="Invesco Interstate Light" w:eastAsia="MS Mincho" w:hAnsi="Invesco Interstate Light"/>
          <w:sz w:val="22"/>
          <w:szCs w:val="22"/>
          <w:lang w:eastAsia="ja-JP"/>
        </w:rPr>
        <w:t xml:space="preserve"> Brown a uvádí příklady, které společnost </w:t>
      </w:r>
      <w:proofErr w:type="spellStart"/>
      <w:r w:rsidRPr="003A6431">
        <w:rPr>
          <w:rFonts w:ascii="Invesco Interstate Light" w:eastAsia="MS Mincho" w:hAnsi="Invesco Interstate Light"/>
          <w:sz w:val="22"/>
          <w:szCs w:val="22"/>
          <w:lang w:eastAsia="ja-JP"/>
        </w:rPr>
        <w:t>Invesco</w:t>
      </w:r>
      <w:proofErr w:type="spellEnd"/>
      <w:r w:rsidRPr="003A6431">
        <w:rPr>
          <w:rFonts w:ascii="Invesco Interstate Light" w:eastAsia="MS Mincho" w:hAnsi="Invesco Interstate Light"/>
          <w:sz w:val="22"/>
          <w:szCs w:val="22"/>
          <w:lang w:eastAsia="ja-JP"/>
        </w:rPr>
        <w:t xml:space="preserve"> přidala do fondů zaměřených spíše na investiční stupeň:</w:t>
      </w:r>
    </w:p>
    <w:p w14:paraId="0674C428" w14:textId="72F2E13C" w:rsidR="003A6431" w:rsidRDefault="003A6431" w:rsidP="003A6431">
      <w:pPr>
        <w:pStyle w:val="Odstavecseseznamem"/>
        <w:numPr>
          <w:ilvl w:val="0"/>
          <w:numId w:val="33"/>
        </w:numPr>
        <w:spacing w:line="360" w:lineRule="auto"/>
        <w:jc w:val="both"/>
        <w:rPr>
          <w:rFonts w:ascii="Invesco Interstate Light" w:eastAsia="MS Mincho" w:hAnsi="Invesco Interstate Light"/>
          <w:lang w:eastAsia="ja-JP"/>
        </w:rPr>
      </w:pPr>
      <w:r>
        <w:rPr>
          <w:rFonts w:ascii="Invesco Interstate Light" w:eastAsia="MS Mincho" w:hAnsi="Invesco Interstate Light"/>
          <w:lang w:eastAsia="ja-JP"/>
        </w:rPr>
        <w:t xml:space="preserve">London </w:t>
      </w:r>
      <w:proofErr w:type="spellStart"/>
      <w:r>
        <w:rPr>
          <w:rFonts w:ascii="Invesco Interstate Light" w:eastAsia="MS Mincho" w:hAnsi="Invesco Interstate Light"/>
          <w:lang w:eastAsia="ja-JP"/>
        </w:rPr>
        <w:t>Power</w:t>
      </w:r>
      <w:proofErr w:type="spellEnd"/>
      <w:r>
        <w:rPr>
          <w:rFonts w:ascii="Invesco Interstate Light" w:eastAsia="MS Mincho" w:hAnsi="Invesco Interstate Light"/>
          <w:lang w:eastAsia="ja-JP"/>
        </w:rPr>
        <w:t xml:space="preserve"> </w:t>
      </w:r>
      <w:proofErr w:type="spellStart"/>
      <w:r>
        <w:rPr>
          <w:rFonts w:ascii="Invesco Interstate Light" w:eastAsia="MS Mincho" w:hAnsi="Invesco Interstate Light"/>
          <w:lang w:eastAsia="ja-JP"/>
        </w:rPr>
        <w:t>Networks</w:t>
      </w:r>
      <w:proofErr w:type="spellEnd"/>
      <w:r>
        <w:rPr>
          <w:rFonts w:ascii="Invesco Interstate Light" w:eastAsia="MS Mincho" w:hAnsi="Invesco Interstate Light"/>
          <w:lang w:eastAsia="ja-JP"/>
        </w:rPr>
        <w:t xml:space="preserve"> </w:t>
      </w:r>
      <w:r w:rsidRPr="001A4B43">
        <w:rPr>
          <w:rFonts w:ascii="Invesco Interstate Light" w:eastAsia="MS Mincho" w:hAnsi="Invesco Interstate Light"/>
          <w:lang w:eastAsia="ja-JP"/>
        </w:rPr>
        <w:t>–</w:t>
      </w:r>
      <w:r>
        <w:rPr>
          <w:rFonts w:ascii="Invesco Interstate Light" w:eastAsia="MS Mincho" w:hAnsi="Invesco Interstate Light"/>
          <w:lang w:eastAsia="ja-JP"/>
        </w:rPr>
        <w:t xml:space="preserve"> </w:t>
      </w:r>
      <w:r w:rsidR="005A6C05">
        <w:rPr>
          <w:rFonts w:ascii="Invesco Interstate Light" w:eastAsia="MS Mincho" w:hAnsi="Invesco Interstate Light"/>
          <w:lang w:eastAsia="ja-JP"/>
        </w:rPr>
        <w:t>dluhopis s kuponem 5,875 % GBP a ratingem A, který je splatný v roce 2040.</w:t>
      </w:r>
    </w:p>
    <w:p w14:paraId="24B90A52" w14:textId="3B3BF059" w:rsidR="005A6C05" w:rsidRDefault="005A6C05" w:rsidP="003A6431">
      <w:pPr>
        <w:pStyle w:val="Odstavecseseznamem"/>
        <w:numPr>
          <w:ilvl w:val="0"/>
          <w:numId w:val="33"/>
        </w:numPr>
        <w:spacing w:line="360" w:lineRule="auto"/>
        <w:jc w:val="both"/>
        <w:rPr>
          <w:rFonts w:ascii="Invesco Interstate Light" w:eastAsia="MS Mincho" w:hAnsi="Invesco Interstate Light"/>
          <w:lang w:eastAsia="ja-JP"/>
        </w:rPr>
      </w:pPr>
      <w:r>
        <w:rPr>
          <w:rFonts w:ascii="Invesco Interstate Light" w:eastAsia="MS Mincho" w:hAnsi="Invesco Interstate Light"/>
          <w:lang w:eastAsia="ja-JP"/>
        </w:rPr>
        <w:t xml:space="preserve">Suez </w:t>
      </w:r>
      <w:r w:rsidRPr="001A4B43">
        <w:rPr>
          <w:rFonts w:ascii="Invesco Interstate Light" w:eastAsia="MS Mincho" w:hAnsi="Invesco Interstate Light"/>
          <w:lang w:eastAsia="ja-JP"/>
        </w:rPr>
        <w:t>–</w:t>
      </w:r>
      <w:r>
        <w:rPr>
          <w:rFonts w:ascii="Invesco Interstate Light" w:eastAsia="MS Mincho" w:hAnsi="Invesco Interstate Light"/>
          <w:lang w:eastAsia="ja-JP"/>
        </w:rPr>
        <w:t xml:space="preserve"> 4,5 % dluhopis v EUR s ratingem BBB, splatný v roce 2023.</w:t>
      </w:r>
    </w:p>
    <w:p w14:paraId="2A8E774B" w14:textId="37C551E6" w:rsidR="005A6C05" w:rsidRDefault="005A6C05" w:rsidP="003A6431">
      <w:pPr>
        <w:pStyle w:val="Odstavecseseznamem"/>
        <w:numPr>
          <w:ilvl w:val="0"/>
          <w:numId w:val="33"/>
        </w:numPr>
        <w:spacing w:line="360" w:lineRule="auto"/>
        <w:jc w:val="both"/>
        <w:rPr>
          <w:rFonts w:ascii="Invesco Interstate Light" w:eastAsia="MS Mincho" w:hAnsi="Invesco Interstate Light"/>
          <w:lang w:eastAsia="ja-JP"/>
        </w:rPr>
      </w:pPr>
      <w:r>
        <w:rPr>
          <w:rFonts w:ascii="Invesco Interstate Light" w:eastAsia="MS Mincho" w:hAnsi="Invesco Interstate Light"/>
          <w:lang w:eastAsia="ja-JP"/>
        </w:rPr>
        <w:t xml:space="preserve">JP Morgan </w:t>
      </w:r>
      <w:r w:rsidRPr="001A4B43">
        <w:rPr>
          <w:rFonts w:ascii="Invesco Interstate Light" w:eastAsia="MS Mincho" w:hAnsi="Invesco Interstate Light"/>
          <w:lang w:eastAsia="ja-JP"/>
        </w:rPr>
        <w:t>–</w:t>
      </w:r>
      <w:r>
        <w:rPr>
          <w:rFonts w:ascii="Invesco Interstate Light" w:eastAsia="MS Mincho" w:hAnsi="Invesco Interstate Light"/>
          <w:lang w:eastAsia="ja-JP"/>
        </w:rPr>
        <w:t xml:space="preserve"> 4,457 % prioritní dluhopis s ratingem A </w:t>
      </w:r>
      <w:proofErr w:type="spellStart"/>
      <w:r>
        <w:rPr>
          <w:rFonts w:ascii="Invesco Interstate Light" w:eastAsia="MS Mincho" w:hAnsi="Invesco Interstate Light"/>
          <w:lang w:eastAsia="ja-JP"/>
        </w:rPr>
        <w:t>a</w:t>
      </w:r>
      <w:proofErr w:type="spellEnd"/>
      <w:r>
        <w:rPr>
          <w:rFonts w:ascii="Invesco Interstate Light" w:eastAsia="MS Mincho" w:hAnsi="Invesco Interstate Light"/>
          <w:lang w:eastAsia="ja-JP"/>
        </w:rPr>
        <w:t xml:space="preserve"> splatností v roce 2031.</w:t>
      </w:r>
    </w:p>
    <w:p w14:paraId="7E07F081" w14:textId="77777777" w:rsidR="00FE4F4A" w:rsidRDefault="00FE4F4A" w:rsidP="00FE4F4A">
      <w:pPr>
        <w:spacing w:line="360" w:lineRule="auto"/>
        <w:jc w:val="both"/>
        <w:rPr>
          <w:rFonts w:ascii="Invesco Interstate Light" w:eastAsia="MS Mincho" w:hAnsi="Invesco Interstate Light"/>
          <w:lang w:eastAsia="ja-JP"/>
        </w:rPr>
      </w:pPr>
    </w:p>
    <w:p w14:paraId="78E568CA" w14:textId="77777777" w:rsidR="00FE4F4A" w:rsidRDefault="00FE4F4A" w:rsidP="00FE4F4A">
      <w:pPr>
        <w:spacing w:line="360" w:lineRule="auto"/>
        <w:jc w:val="both"/>
        <w:rPr>
          <w:rFonts w:ascii="Invesco Interstate Light" w:eastAsia="MS Mincho" w:hAnsi="Invesco Interstate Light"/>
          <w:lang w:eastAsia="ja-JP"/>
        </w:rPr>
      </w:pPr>
    </w:p>
    <w:p w14:paraId="464B18E5" w14:textId="77777777" w:rsidR="00FE4F4A" w:rsidRDefault="00FE4F4A" w:rsidP="00FE4F4A">
      <w:pPr>
        <w:spacing w:line="360" w:lineRule="auto"/>
        <w:jc w:val="both"/>
        <w:rPr>
          <w:rFonts w:ascii="Invesco Interstate Light" w:eastAsia="MS Mincho" w:hAnsi="Invesco Interstate Light"/>
          <w:lang w:eastAsia="ja-JP"/>
        </w:rPr>
      </w:pPr>
    </w:p>
    <w:p w14:paraId="081D7A9B" w14:textId="77777777" w:rsidR="00FE4F4A" w:rsidRDefault="00FE4F4A" w:rsidP="00FE4F4A">
      <w:pPr>
        <w:spacing w:line="360" w:lineRule="auto"/>
        <w:jc w:val="both"/>
        <w:rPr>
          <w:rFonts w:ascii="Invesco Interstate Light" w:eastAsia="MS Mincho" w:hAnsi="Invesco Interstate Light"/>
          <w:lang w:eastAsia="ja-JP"/>
        </w:rPr>
      </w:pPr>
    </w:p>
    <w:p w14:paraId="7249CE76" w14:textId="77777777" w:rsidR="00FE4F4A" w:rsidRPr="00FE4F4A" w:rsidRDefault="00FE4F4A" w:rsidP="00FE4F4A">
      <w:pPr>
        <w:spacing w:line="360" w:lineRule="auto"/>
        <w:jc w:val="both"/>
        <w:rPr>
          <w:rFonts w:ascii="Invesco Interstate Light" w:eastAsia="MS Mincho" w:hAnsi="Invesco Interstate Light"/>
          <w:lang w:eastAsia="ja-JP"/>
        </w:rPr>
      </w:pPr>
    </w:p>
    <w:p w14:paraId="7697E202" w14:textId="08317372" w:rsidR="00E66DAC" w:rsidRDefault="00DA7333" w:rsidP="00E66DAC">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Určitá opatrnost pro dluhopisy s vysokými výnosy</w:t>
      </w:r>
    </w:p>
    <w:p w14:paraId="34C4942C" w14:textId="77777777" w:rsidR="00FE4F4A" w:rsidRPr="00FE4F4A" w:rsidRDefault="00FE4F4A" w:rsidP="00FE4F4A">
      <w:pPr>
        <w:spacing w:before="100" w:beforeAutospacing="1" w:after="100" w:afterAutospacing="1" w:line="360" w:lineRule="auto"/>
        <w:jc w:val="both"/>
        <w:rPr>
          <w:rFonts w:ascii="Invesco Interstate Light" w:eastAsia="MS Mincho" w:hAnsi="Invesco Interstate Light"/>
          <w:sz w:val="22"/>
          <w:szCs w:val="22"/>
          <w:lang w:eastAsia="ja-JP"/>
        </w:rPr>
      </w:pPr>
      <w:r w:rsidRPr="00FE4F4A">
        <w:rPr>
          <w:rFonts w:ascii="Invesco Interstate Light" w:eastAsia="MS Mincho" w:hAnsi="Invesco Interstate Light"/>
          <w:sz w:val="22"/>
          <w:szCs w:val="22"/>
          <w:lang w:eastAsia="ja-JP"/>
        </w:rPr>
        <w:t>V oblasti vysokých výnosů došlo v posledních několika letech k velmi omezenému počtu nových emisí poté, co podniky vytvořily značné emise v letech 2020 a 2021. V důsledku toho se doba splatnosti stále více přibližuje a korporace budou muset financovat s mnohem vyššími sazbami, než byly schopny dříve.</w:t>
      </w:r>
    </w:p>
    <w:p w14:paraId="5A12652C" w14:textId="77777777" w:rsidR="00FE4F4A" w:rsidRPr="00FE4F4A" w:rsidRDefault="00FE4F4A" w:rsidP="00FE4F4A">
      <w:pPr>
        <w:spacing w:before="100" w:beforeAutospacing="1" w:after="100" w:afterAutospacing="1" w:line="360" w:lineRule="auto"/>
        <w:jc w:val="both"/>
        <w:rPr>
          <w:rFonts w:ascii="Invesco Interstate Light" w:eastAsia="MS Mincho" w:hAnsi="Invesco Interstate Light"/>
          <w:sz w:val="22"/>
          <w:szCs w:val="22"/>
          <w:lang w:eastAsia="ja-JP"/>
        </w:rPr>
      </w:pPr>
      <w:r w:rsidRPr="00FE4F4A">
        <w:rPr>
          <w:rFonts w:ascii="Invesco Interstate Light" w:eastAsia="MS Mincho" w:hAnsi="Invesco Interstate Light"/>
          <w:sz w:val="22"/>
          <w:szCs w:val="22"/>
          <w:lang w:eastAsia="ja-JP"/>
        </w:rPr>
        <w:t>To spolu se zhoršujícími se ekonomickými daty, včetně rostoucího počtu insolvencí a delikvencí, nutí investory k větší opatrnosti, pokud jde o cenné papíry s vysokým výnosem.</w:t>
      </w:r>
    </w:p>
    <w:p w14:paraId="240B19CD" w14:textId="77777777" w:rsidR="00FE4F4A" w:rsidRPr="00FE4F4A" w:rsidRDefault="00FE4F4A" w:rsidP="00FE4F4A">
      <w:pPr>
        <w:spacing w:before="100" w:beforeAutospacing="1" w:after="100" w:afterAutospacing="1" w:line="360" w:lineRule="auto"/>
        <w:jc w:val="both"/>
        <w:rPr>
          <w:rFonts w:ascii="Invesco Interstate Light" w:eastAsia="MS Mincho" w:hAnsi="Invesco Interstate Light"/>
          <w:i/>
          <w:iCs/>
          <w:sz w:val="22"/>
          <w:szCs w:val="22"/>
          <w:lang w:eastAsia="ja-JP"/>
        </w:rPr>
      </w:pPr>
      <w:r w:rsidRPr="00FE4F4A">
        <w:rPr>
          <w:rFonts w:ascii="Invesco Interstate Light" w:eastAsia="MS Mincho" w:hAnsi="Invesco Interstate Light"/>
          <w:i/>
          <w:iCs/>
          <w:sz w:val="22"/>
          <w:szCs w:val="22"/>
          <w:lang w:eastAsia="ja-JP"/>
        </w:rPr>
        <w:t>„Ve fondech, které se věnují částem trhu s vyššími výnosy, jsme proto zlepšovali celkovou úvěrovou kvalitu. To odráží náš názor na problémy, kterým bude mnoho dlužníků u produktů s vysokým výnosem čelit v prostředí vyšších výpůjčních nákladů. Úvěrová kvalita obecně slouží k ochraně před rizikem zpomalení ekonomiky,“</w:t>
      </w:r>
      <w:r w:rsidRPr="00FE4F4A">
        <w:rPr>
          <w:rFonts w:ascii="Invesco Interstate Light" w:eastAsia="MS Mincho" w:hAnsi="Invesco Interstate Light"/>
          <w:sz w:val="22"/>
          <w:szCs w:val="22"/>
          <w:lang w:eastAsia="ja-JP"/>
        </w:rPr>
        <w:t xml:space="preserve"> vysvětluje </w:t>
      </w:r>
      <w:proofErr w:type="spellStart"/>
      <w:r w:rsidRPr="00FE4F4A">
        <w:rPr>
          <w:rFonts w:ascii="Invesco Interstate Light" w:eastAsia="MS Mincho" w:hAnsi="Invesco Interstate Light"/>
          <w:sz w:val="22"/>
          <w:szCs w:val="22"/>
          <w:lang w:eastAsia="ja-JP"/>
        </w:rPr>
        <w:t>Alister</w:t>
      </w:r>
      <w:proofErr w:type="spellEnd"/>
      <w:r w:rsidRPr="00FE4F4A">
        <w:rPr>
          <w:rFonts w:ascii="Invesco Interstate Light" w:eastAsia="MS Mincho" w:hAnsi="Invesco Interstate Light"/>
          <w:sz w:val="22"/>
          <w:szCs w:val="22"/>
          <w:lang w:eastAsia="ja-JP"/>
        </w:rPr>
        <w:t xml:space="preserve"> Brown a doplňuje: </w:t>
      </w:r>
      <w:r w:rsidRPr="00FE4F4A">
        <w:rPr>
          <w:rFonts w:ascii="Invesco Interstate Light" w:eastAsia="MS Mincho" w:hAnsi="Invesco Interstate Light"/>
          <w:i/>
          <w:iCs/>
          <w:sz w:val="22"/>
          <w:szCs w:val="22"/>
          <w:lang w:eastAsia="ja-JP"/>
        </w:rPr>
        <w:t>„Zatímco není jisté, zda ke zpomalení ekonomiky dojde, máme mnohem větší jistotu ohledně rizik, která vyšší výpůjční náklady představují pro trh dluhopisů s vysokým výnosem. Jsme velmi obezřetní vůči dlužníkům s vyšším pákovým efektem, jejichž rozvahy byly sestaveny ve velmi odlišném úvěrovém prostředí. I při zohlednění dalšího poklesu úrokových sazeb a výnosů se může stát, že tyto společnosti nebudou schopny refinancovat na přijatelné úrovni.“</w:t>
      </w:r>
    </w:p>
    <w:p w14:paraId="17807ADA" w14:textId="77777777" w:rsidR="00FE4F4A" w:rsidRPr="00FE4F4A" w:rsidRDefault="00FE4F4A" w:rsidP="00FE4F4A">
      <w:pPr>
        <w:spacing w:line="360" w:lineRule="auto"/>
        <w:jc w:val="both"/>
        <w:rPr>
          <w:rFonts w:ascii="Invesco Interstate Light" w:eastAsia="MS Mincho" w:hAnsi="Invesco Interstate Light"/>
          <w:sz w:val="22"/>
          <w:szCs w:val="22"/>
          <w:lang w:eastAsia="ja-JP"/>
        </w:rPr>
      </w:pPr>
      <w:r w:rsidRPr="00FE4F4A">
        <w:rPr>
          <w:rFonts w:ascii="Invesco Interstate Light" w:eastAsia="MS Mincho" w:hAnsi="Invesco Interstate Light"/>
          <w:sz w:val="22"/>
          <w:szCs w:val="22"/>
          <w:lang w:eastAsia="ja-JP"/>
        </w:rPr>
        <w:t xml:space="preserve">Je pozoruhodné, že došlo ke zřetelnému rozptylu mezi požadovanými výnosy silnějších a slabších úvěrů. Zatímco rozpětí u evropských dluhopisů s ratingem BB a B kleslo, rozpětí u dluhopisů s ratingem CCC a nižším výrazně vzrostlo. </w:t>
      </w:r>
    </w:p>
    <w:p w14:paraId="35649372" w14:textId="7ACCB5D7" w:rsidR="00FE4F4A" w:rsidRPr="00E66DAC" w:rsidRDefault="00FE4F4A" w:rsidP="00FE4F4A">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Graf 2: Rozpětí indexu evropských měnových dluhopisů s vysokým výnosem</w:t>
      </w:r>
    </w:p>
    <w:p w14:paraId="59DE27B4" w14:textId="561233A0" w:rsidR="00981A46" w:rsidRPr="00CB21F9" w:rsidRDefault="00CB21F9" w:rsidP="00981A46">
      <w:pPr>
        <w:spacing w:before="100" w:beforeAutospacing="1" w:afterAutospacing="1" w:line="240" w:lineRule="auto"/>
        <w:jc w:val="both"/>
        <w:rPr>
          <w:rFonts w:ascii="Invesco Interstate Light" w:hAnsi="Invesco Interstate Light"/>
          <w:b/>
          <w:bCs/>
        </w:rPr>
      </w:pPr>
      <w:r w:rsidRPr="00CB21F9">
        <w:rPr>
          <w:rFonts w:ascii="Invesco Interstate Light" w:hAnsi="Invesco Interstate Light"/>
          <w:b/>
          <w:bCs/>
          <w:sz w:val="22"/>
          <w:szCs w:val="22"/>
        </w:rPr>
        <w:drawing>
          <wp:inline distT="0" distB="0" distL="0" distR="0" wp14:anchorId="7791678D" wp14:editId="395B83F2">
            <wp:extent cx="4282428" cy="2163252"/>
            <wp:effectExtent l="0" t="0" r="4445" b="8890"/>
            <wp:docPr id="15261638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63844" name=""/>
                    <pic:cNvPicPr/>
                  </pic:nvPicPr>
                  <pic:blipFill>
                    <a:blip r:embed="rId12"/>
                    <a:stretch>
                      <a:fillRect/>
                    </a:stretch>
                  </pic:blipFill>
                  <pic:spPr>
                    <a:xfrm>
                      <a:off x="0" y="0"/>
                      <a:ext cx="4295261" cy="2169734"/>
                    </a:xfrm>
                    <a:prstGeom prst="rect">
                      <a:avLst/>
                    </a:prstGeom>
                  </pic:spPr>
                </pic:pic>
              </a:graphicData>
            </a:graphic>
          </wp:inline>
        </w:drawing>
      </w:r>
      <w:r>
        <w:rPr>
          <w:rFonts w:ascii="Invesco Interstate Light" w:hAnsi="Invesco Interstate Light"/>
          <w:b/>
          <w:bCs/>
          <w:sz w:val="22"/>
          <w:szCs w:val="22"/>
        </w:rPr>
        <w:br/>
      </w:r>
      <w:r w:rsidR="00981A46" w:rsidRPr="00CB21F9">
        <w:rPr>
          <w:rFonts w:ascii="Invesco Interstate Light" w:eastAsia="MS Mincho" w:hAnsi="Invesco Interstate Light"/>
          <w:i/>
          <w:iCs/>
          <w:lang w:eastAsia="ja-JP"/>
        </w:rPr>
        <w:t>Zdroj</w:t>
      </w:r>
      <w:r w:rsidRPr="00CB21F9">
        <w:rPr>
          <w:rFonts w:ascii="Invesco Interstate Light" w:eastAsia="MS Mincho" w:hAnsi="Invesco Interstate Light"/>
          <w:i/>
          <w:iCs/>
          <w:lang w:eastAsia="ja-JP"/>
        </w:rPr>
        <w:t xml:space="preserve">: </w:t>
      </w:r>
      <w:proofErr w:type="spellStart"/>
      <w:r w:rsidRPr="00CB21F9">
        <w:rPr>
          <w:rFonts w:ascii="Invesco Interstate Light" w:eastAsia="MS Mincho" w:hAnsi="Invesco Interstate Light"/>
          <w:i/>
          <w:iCs/>
          <w:lang w:eastAsia="ja-JP"/>
        </w:rPr>
        <w:t>Makrobond</w:t>
      </w:r>
      <w:proofErr w:type="spellEnd"/>
      <w:r w:rsidRPr="00CB21F9">
        <w:rPr>
          <w:rFonts w:ascii="Invesco Interstate Light" w:eastAsia="MS Mincho" w:hAnsi="Invesco Interstate Light"/>
          <w:i/>
          <w:iCs/>
          <w:lang w:eastAsia="ja-JP"/>
        </w:rPr>
        <w:t xml:space="preserve">, indexy ICE </w:t>
      </w:r>
      <w:proofErr w:type="spellStart"/>
      <w:r w:rsidRPr="00CB21F9">
        <w:rPr>
          <w:rFonts w:ascii="Invesco Interstate Light" w:eastAsia="MS Mincho" w:hAnsi="Invesco Interstate Light"/>
          <w:i/>
          <w:iCs/>
          <w:lang w:eastAsia="ja-JP"/>
        </w:rPr>
        <w:t>BofA</w:t>
      </w:r>
      <w:proofErr w:type="spellEnd"/>
      <w:r w:rsidRPr="00CB21F9">
        <w:rPr>
          <w:rFonts w:ascii="Invesco Interstate Light" w:eastAsia="MS Mincho" w:hAnsi="Invesco Interstate Light"/>
          <w:i/>
          <w:iCs/>
          <w:lang w:eastAsia="ja-JP"/>
        </w:rPr>
        <w:t>, k 31/1/24.</w:t>
      </w:r>
    </w:p>
    <w:p w14:paraId="1427A89B" w14:textId="77777777" w:rsidR="0041148D" w:rsidRPr="0041148D" w:rsidRDefault="0041148D" w:rsidP="0041148D">
      <w:pPr>
        <w:spacing w:line="360" w:lineRule="auto"/>
        <w:jc w:val="both"/>
        <w:rPr>
          <w:rFonts w:ascii="Invesco Interstate Light" w:eastAsia="MS Mincho" w:hAnsi="Invesco Interstate Light"/>
          <w:sz w:val="22"/>
          <w:szCs w:val="22"/>
          <w:lang w:eastAsia="ja-JP"/>
        </w:rPr>
      </w:pPr>
      <w:r w:rsidRPr="0041148D">
        <w:rPr>
          <w:rFonts w:ascii="Invesco Interstate Light" w:eastAsia="MS Mincho" w:hAnsi="Invesco Interstate Light"/>
          <w:sz w:val="22"/>
          <w:szCs w:val="22"/>
          <w:lang w:eastAsia="ja-JP"/>
        </w:rPr>
        <w:lastRenderedPageBreak/>
        <w:t>Tento scénář je sice náročný, ale měl by nabídnout dobré příležitosti pro vyšší alfu a v konečném důsledku bude odměnou za aktivní správu portfolia a důsledný výběr úvěrů. Ačkoli souhrnná úroveň rozpětí není velkorysá, stále očekáváme, že evropský vysoký výnos přinese v roce 2024 kladné celkové výnosy díky tomu, že se přenesou vyšší počáteční výnosy na trhu.</w:t>
      </w:r>
    </w:p>
    <w:p w14:paraId="679C1394" w14:textId="46DB97AF" w:rsidR="00975798" w:rsidRPr="00E66DAC" w:rsidRDefault="0041148D" w:rsidP="00975798">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Alternativy k vysokým výnosům</w:t>
      </w:r>
    </w:p>
    <w:p w14:paraId="2E64316C" w14:textId="77777777" w:rsidR="0041148D" w:rsidRPr="0041148D" w:rsidRDefault="0041148D" w:rsidP="0041148D">
      <w:pPr>
        <w:spacing w:line="360" w:lineRule="auto"/>
        <w:jc w:val="both"/>
        <w:rPr>
          <w:rFonts w:ascii="Invesco Interstate Light" w:eastAsia="MS Mincho" w:hAnsi="Invesco Interstate Light"/>
          <w:sz w:val="22"/>
          <w:szCs w:val="22"/>
          <w:lang w:eastAsia="ja-JP"/>
        </w:rPr>
      </w:pPr>
      <w:r w:rsidRPr="0041148D">
        <w:rPr>
          <w:rFonts w:ascii="Invesco Interstate Light" w:eastAsia="MS Mincho" w:hAnsi="Invesco Interstate Light"/>
          <w:i/>
          <w:iCs/>
          <w:sz w:val="22"/>
          <w:szCs w:val="22"/>
          <w:lang w:eastAsia="ja-JP"/>
        </w:rPr>
        <w:t>„Zatímco jsme snížili expozici vůči dluhopisům s vysokým výnosem, rádi jsme se trochu více vystavili podřízenému dluhu v silnějších společnostech. Zvýšili jsme investice do podnikových hybridních dluhopisů. Jedná se o podřízené dluhopisy, ale emitující společnosti jsou obvykle velké společnosti s investičním ratingem. Přidali jsme také do podřízených finančních dluhopisů, včetně bankovního dluhu AT1. Po výprodeji v březnu loňského roku přijaly banky i regulační orgány opatření k zajištění dalšího zdraví trhu AT1 a ten si vedl dobře,“</w:t>
      </w:r>
      <w:r w:rsidRPr="0041148D">
        <w:rPr>
          <w:rFonts w:ascii="Invesco Interstate Light" w:eastAsia="MS Mincho" w:hAnsi="Invesco Interstate Light"/>
          <w:sz w:val="22"/>
          <w:szCs w:val="22"/>
          <w:lang w:eastAsia="ja-JP"/>
        </w:rPr>
        <w:t xml:space="preserve"> uzavírá </w:t>
      </w:r>
      <w:proofErr w:type="spellStart"/>
      <w:r w:rsidRPr="0041148D">
        <w:rPr>
          <w:rFonts w:ascii="Invesco Interstate Light" w:eastAsia="MS Mincho" w:hAnsi="Invesco Interstate Light"/>
          <w:sz w:val="22"/>
          <w:szCs w:val="22"/>
          <w:lang w:eastAsia="ja-JP"/>
        </w:rPr>
        <w:t>Alister</w:t>
      </w:r>
      <w:proofErr w:type="spellEnd"/>
      <w:r w:rsidRPr="0041148D">
        <w:rPr>
          <w:rFonts w:ascii="Invesco Interstate Light" w:eastAsia="MS Mincho" w:hAnsi="Invesco Interstate Light"/>
          <w:sz w:val="22"/>
          <w:szCs w:val="22"/>
          <w:lang w:eastAsia="ja-JP"/>
        </w:rPr>
        <w:t xml:space="preserve"> Brown z </w:t>
      </w:r>
      <w:proofErr w:type="spellStart"/>
      <w:r w:rsidRPr="0041148D">
        <w:rPr>
          <w:rFonts w:ascii="Invesco Interstate Light" w:eastAsia="MS Mincho" w:hAnsi="Invesco Interstate Light"/>
          <w:sz w:val="22"/>
          <w:szCs w:val="22"/>
          <w:lang w:eastAsia="ja-JP"/>
        </w:rPr>
        <w:t>Invesca</w:t>
      </w:r>
      <w:proofErr w:type="spellEnd"/>
      <w:r w:rsidRPr="0041148D">
        <w:rPr>
          <w:rFonts w:ascii="Invesco Interstate Light" w:eastAsia="MS Mincho" w:hAnsi="Invesco Interstate Light"/>
          <w:sz w:val="22"/>
          <w:szCs w:val="22"/>
          <w:lang w:eastAsia="ja-JP"/>
        </w:rPr>
        <w:t>.</w:t>
      </w:r>
    </w:p>
    <w:p w14:paraId="66C698CB" w14:textId="37340D98" w:rsidR="00377432" w:rsidRPr="00377432" w:rsidRDefault="00CB2682" w:rsidP="00377432">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 xml:space="preserve">Graf 3: ICE </w:t>
      </w:r>
      <w:proofErr w:type="spellStart"/>
      <w:r>
        <w:rPr>
          <w:rFonts w:ascii="Invesco Interstate Light" w:hAnsi="Invesco Interstate Light"/>
          <w:b/>
          <w:bCs/>
          <w:sz w:val="22"/>
          <w:szCs w:val="22"/>
        </w:rPr>
        <w:t>BofA</w:t>
      </w:r>
      <w:proofErr w:type="spellEnd"/>
      <w:r>
        <w:rPr>
          <w:rFonts w:ascii="Invesco Interstate Light" w:hAnsi="Invesco Interstate Light"/>
          <w:b/>
          <w:bCs/>
          <w:sz w:val="22"/>
          <w:szCs w:val="22"/>
        </w:rPr>
        <w:t xml:space="preserve"> </w:t>
      </w:r>
      <w:proofErr w:type="spellStart"/>
      <w:r>
        <w:rPr>
          <w:rFonts w:ascii="Invesco Interstate Light" w:hAnsi="Invesco Interstate Light"/>
          <w:b/>
          <w:bCs/>
          <w:sz w:val="22"/>
          <w:szCs w:val="22"/>
        </w:rPr>
        <w:t>European</w:t>
      </w:r>
      <w:proofErr w:type="spellEnd"/>
      <w:r>
        <w:rPr>
          <w:rFonts w:ascii="Invesco Interstate Light" w:hAnsi="Invesco Interstate Light"/>
          <w:b/>
          <w:bCs/>
          <w:sz w:val="22"/>
          <w:szCs w:val="22"/>
        </w:rPr>
        <w:t xml:space="preserve"> </w:t>
      </w:r>
      <w:proofErr w:type="spellStart"/>
      <w:r>
        <w:rPr>
          <w:rFonts w:ascii="Invesco Interstate Light" w:hAnsi="Invesco Interstate Light"/>
          <w:b/>
          <w:bCs/>
          <w:sz w:val="22"/>
          <w:szCs w:val="22"/>
        </w:rPr>
        <w:t>Currency</w:t>
      </w:r>
      <w:proofErr w:type="spellEnd"/>
      <w:r>
        <w:rPr>
          <w:rFonts w:ascii="Invesco Interstate Light" w:hAnsi="Invesco Interstate Light"/>
          <w:b/>
          <w:bCs/>
          <w:sz w:val="22"/>
          <w:szCs w:val="22"/>
        </w:rPr>
        <w:t xml:space="preserve"> </w:t>
      </w:r>
      <w:proofErr w:type="spellStart"/>
      <w:r>
        <w:rPr>
          <w:rFonts w:ascii="Invesco Interstate Light" w:hAnsi="Invesco Interstate Light"/>
          <w:b/>
          <w:bCs/>
          <w:sz w:val="22"/>
          <w:szCs w:val="22"/>
        </w:rPr>
        <w:t>High</w:t>
      </w:r>
      <w:proofErr w:type="spellEnd"/>
      <w:r>
        <w:rPr>
          <w:rFonts w:ascii="Invesco Interstate Light" w:hAnsi="Invesco Interstate Light"/>
          <w:b/>
          <w:bCs/>
          <w:sz w:val="22"/>
          <w:szCs w:val="22"/>
        </w:rPr>
        <w:t xml:space="preserve"> </w:t>
      </w:r>
      <w:proofErr w:type="spellStart"/>
      <w:r>
        <w:rPr>
          <w:rFonts w:ascii="Invesco Interstate Light" w:hAnsi="Invesco Interstate Light"/>
          <w:b/>
          <w:bCs/>
          <w:sz w:val="22"/>
          <w:szCs w:val="22"/>
        </w:rPr>
        <w:t>Yield</w:t>
      </w:r>
      <w:proofErr w:type="spellEnd"/>
      <w:r>
        <w:rPr>
          <w:rFonts w:ascii="Invesco Interstate Light" w:hAnsi="Invesco Interstate Light"/>
          <w:b/>
          <w:bCs/>
          <w:sz w:val="22"/>
          <w:szCs w:val="22"/>
        </w:rPr>
        <w:t xml:space="preserve">, </w:t>
      </w:r>
      <w:proofErr w:type="spellStart"/>
      <w:r>
        <w:rPr>
          <w:rFonts w:ascii="Invesco Interstate Light" w:hAnsi="Invesco Interstate Light"/>
          <w:b/>
          <w:bCs/>
          <w:sz w:val="22"/>
          <w:szCs w:val="22"/>
        </w:rPr>
        <w:t>Global</w:t>
      </w:r>
      <w:proofErr w:type="spellEnd"/>
      <w:r>
        <w:rPr>
          <w:rFonts w:ascii="Invesco Interstate Light" w:hAnsi="Invesco Interstate Light"/>
          <w:b/>
          <w:bCs/>
          <w:sz w:val="22"/>
          <w:szCs w:val="22"/>
        </w:rPr>
        <w:t xml:space="preserve"> HY </w:t>
      </w:r>
      <w:proofErr w:type="spellStart"/>
      <w:r>
        <w:rPr>
          <w:rFonts w:ascii="Invesco Interstate Light" w:hAnsi="Invesco Interstate Light"/>
          <w:b/>
          <w:bCs/>
          <w:sz w:val="22"/>
          <w:szCs w:val="22"/>
        </w:rPr>
        <w:t>Hybrids</w:t>
      </w:r>
      <w:proofErr w:type="spellEnd"/>
      <w:r>
        <w:rPr>
          <w:rFonts w:ascii="Invesco Interstate Light" w:hAnsi="Invesco Interstate Light"/>
          <w:b/>
          <w:bCs/>
          <w:sz w:val="22"/>
          <w:szCs w:val="22"/>
        </w:rPr>
        <w:t xml:space="preserve"> a </w:t>
      </w:r>
      <w:proofErr w:type="spellStart"/>
      <w:r>
        <w:rPr>
          <w:rFonts w:ascii="Invesco Interstate Light" w:hAnsi="Invesco Interstate Light"/>
          <w:b/>
          <w:bCs/>
          <w:sz w:val="22"/>
          <w:szCs w:val="22"/>
        </w:rPr>
        <w:t>CoCos</w:t>
      </w:r>
      <w:proofErr w:type="spellEnd"/>
      <w:r>
        <w:rPr>
          <w:rFonts w:ascii="Invesco Interstate Light" w:hAnsi="Invesco Interstate Light"/>
          <w:b/>
          <w:bCs/>
          <w:sz w:val="22"/>
          <w:szCs w:val="22"/>
        </w:rPr>
        <w:t xml:space="preserve"> </w:t>
      </w:r>
      <w:r w:rsidRPr="00CB2682">
        <w:rPr>
          <w:rFonts w:ascii="Invesco Interstate Light" w:hAnsi="Invesco Interstate Light"/>
          <w:b/>
          <w:bCs/>
          <w:sz w:val="22"/>
          <w:szCs w:val="22"/>
        </w:rPr>
        <w:t>–</w:t>
      </w:r>
      <w:r w:rsidRPr="00CB2682">
        <w:rPr>
          <w:rFonts w:ascii="Invesco Interstate Light" w:hAnsi="Invesco Interstate Light"/>
          <w:b/>
          <w:bCs/>
          <w:sz w:val="22"/>
          <w:szCs w:val="22"/>
        </w:rPr>
        <w:t xml:space="preserve"> </w:t>
      </w:r>
      <w:r>
        <w:rPr>
          <w:rFonts w:ascii="Invesco Interstate Light" w:hAnsi="Invesco Interstate Light"/>
          <w:b/>
          <w:bCs/>
          <w:sz w:val="22"/>
          <w:szCs w:val="22"/>
        </w:rPr>
        <w:t>Výnos v %</w:t>
      </w:r>
    </w:p>
    <w:p w14:paraId="3FC502A5" w14:textId="7A8090ED" w:rsidR="00377432" w:rsidRDefault="00CB2682" w:rsidP="00377432">
      <w:pPr>
        <w:spacing w:line="276" w:lineRule="auto"/>
        <w:jc w:val="both"/>
        <w:rPr>
          <w:rFonts w:ascii="Invesco Interstate Light" w:eastAsia="MS Mincho" w:hAnsi="Invesco Interstate Light"/>
          <w:i/>
          <w:iCs/>
          <w:lang w:eastAsia="ja-JP"/>
        </w:rPr>
      </w:pPr>
      <w:r w:rsidRPr="00CB2682">
        <w:rPr>
          <w:rFonts w:ascii="Invesco Interstate Light" w:eastAsia="MS Mincho" w:hAnsi="Invesco Interstate Light"/>
          <w:sz w:val="22"/>
          <w:szCs w:val="22"/>
          <w:lang w:eastAsia="ja-JP"/>
        </w:rPr>
        <w:drawing>
          <wp:inline distT="0" distB="0" distL="0" distR="0" wp14:anchorId="2790FEFA" wp14:editId="60A94866">
            <wp:extent cx="6108065" cy="3026410"/>
            <wp:effectExtent l="0" t="0" r="6985" b="2540"/>
            <wp:docPr id="8742849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84974" name=""/>
                    <pic:cNvPicPr/>
                  </pic:nvPicPr>
                  <pic:blipFill>
                    <a:blip r:embed="rId13"/>
                    <a:stretch>
                      <a:fillRect/>
                    </a:stretch>
                  </pic:blipFill>
                  <pic:spPr>
                    <a:xfrm>
                      <a:off x="0" y="0"/>
                      <a:ext cx="6108065" cy="3026410"/>
                    </a:xfrm>
                    <a:prstGeom prst="rect">
                      <a:avLst/>
                    </a:prstGeom>
                  </pic:spPr>
                </pic:pic>
              </a:graphicData>
            </a:graphic>
          </wp:inline>
        </w:drawing>
      </w:r>
      <w:r w:rsidRPr="00CB2682">
        <w:rPr>
          <w:rFonts w:ascii="Invesco Interstate Light" w:eastAsia="MS Mincho" w:hAnsi="Invesco Interstate Light"/>
          <w:i/>
          <w:iCs/>
          <w:lang w:eastAsia="ja-JP"/>
        </w:rPr>
        <w:t xml:space="preserve"> </w:t>
      </w:r>
      <w:r w:rsidRPr="00CB21F9">
        <w:rPr>
          <w:rFonts w:ascii="Invesco Interstate Light" w:eastAsia="MS Mincho" w:hAnsi="Invesco Interstate Light"/>
          <w:i/>
          <w:iCs/>
          <w:lang w:eastAsia="ja-JP"/>
        </w:rPr>
        <w:t xml:space="preserve">Zdroj: </w:t>
      </w:r>
      <w:proofErr w:type="spellStart"/>
      <w:r w:rsidRPr="00CB21F9">
        <w:rPr>
          <w:rFonts w:ascii="Invesco Interstate Light" w:eastAsia="MS Mincho" w:hAnsi="Invesco Interstate Light"/>
          <w:i/>
          <w:iCs/>
          <w:lang w:eastAsia="ja-JP"/>
        </w:rPr>
        <w:t>Makrobond</w:t>
      </w:r>
      <w:proofErr w:type="spellEnd"/>
      <w:r w:rsidRPr="00CB21F9">
        <w:rPr>
          <w:rFonts w:ascii="Invesco Interstate Light" w:eastAsia="MS Mincho" w:hAnsi="Invesco Interstate Light"/>
          <w:i/>
          <w:iCs/>
          <w:lang w:eastAsia="ja-JP"/>
        </w:rPr>
        <w:t xml:space="preserve">, indexy ICE </w:t>
      </w:r>
      <w:proofErr w:type="spellStart"/>
      <w:r w:rsidRPr="00CB21F9">
        <w:rPr>
          <w:rFonts w:ascii="Invesco Interstate Light" w:eastAsia="MS Mincho" w:hAnsi="Invesco Interstate Light"/>
          <w:i/>
          <w:iCs/>
          <w:lang w:eastAsia="ja-JP"/>
        </w:rPr>
        <w:t>BofA</w:t>
      </w:r>
      <w:proofErr w:type="spellEnd"/>
      <w:r w:rsidRPr="00CB21F9">
        <w:rPr>
          <w:rFonts w:ascii="Invesco Interstate Light" w:eastAsia="MS Mincho" w:hAnsi="Invesco Interstate Light"/>
          <w:i/>
          <w:iCs/>
          <w:lang w:eastAsia="ja-JP"/>
        </w:rPr>
        <w:t>, k 31/1/24.</w:t>
      </w:r>
    </w:p>
    <w:p w14:paraId="29184653" w14:textId="77777777" w:rsidR="00CB2682" w:rsidRDefault="00CB2682" w:rsidP="00377432">
      <w:pPr>
        <w:spacing w:line="276" w:lineRule="auto"/>
        <w:jc w:val="both"/>
        <w:rPr>
          <w:rFonts w:ascii="Invesco Interstate Light" w:eastAsia="MS Mincho" w:hAnsi="Invesco Interstate Light"/>
          <w:sz w:val="22"/>
          <w:szCs w:val="22"/>
          <w:lang w:eastAsia="ja-JP"/>
        </w:rPr>
      </w:pPr>
    </w:p>
    <w:p w14:paraId="340D0131" w14:textId="77777777" w:rsidR="00CB2682" w:rsidRDefault="00CB2682" w:rsidP="00CB2682">
      <w:pPr>
        <w:spacing w:line="240" w:lineRule="auto"/>
        <w:rPr>
          <w:rFonts w:ascii="Invesco Interstate Light" w:eastAsia="MS Mincho" w:hAnsi="Invesco Interstate Light"/>
          <w:sz w:val="22"/>
          <w:szCs w:val="22"/>
          <w:lang w:eastAsia="ja-JP"/>
        </w:rPr>
      </w:pPr>
      <w:r w:rsidRPr="00CB2682">
        <w:rPr>
          <w:rFonts w:ascii="Invesco Interstate Light" w:eastAsia="MS Mincho" w:hAnsi="Invesco Interstate Light"/>
          <w:sz w:val="22"/>
          <w:szCs w:val="22"/>
          <w:lang w:eastAsia="ja-JP"/>
        </w:rPr>
        <w:t>Mezi příklady nedávných emisí patří:</w:t>
      </w:r>
    </w:p>
    <w:p w14:paraId="7D6DBA3D" w14:textId="7DD3D75F" w:rsidR="00CB2682" w:rsidRDefault="00CB2682" w:rsidP="00CB2682">
      <w:pPr>
        <w:pStyle w:val="Odstavecseseznamem"/>
        <w:numPr>
          <w:ilvl w:val="0"/>
          <w:numId w:val="34"/>
        </w:numPr>
        <w:rPr>
          <w:rFonts w:ascii="Invesco Interstate Light" w:eastAsia="MS Mincho" w:hAnsi="Invesco Interstate Light"/>
          <w:lang w:eastAsia="ja-JP"/>
        </w:rPr>
      </w:pPr>
      <w:proofErr w:type="spellStart"/>
      <w:r>
        <w:rPr>
          <w:rFonts w:ascii="Invesco Interstate Light" w:eastAsia="MS Mincho" w:hAnsi="Invesco Interstate Light"/>
          <w:lang w:eastAsia="ja-JP"/>
        </w:rPr>
        <w:t>Societe</w:t>
      </w:r>
      <w:proofErr w:type="spellEnd"/>
      <w:r>
        <w:rPr>
          <w:rFonts w:ascii="Invesco Interstate Light" w:eastAsia="MS Mincho" w:hAnsi="Invesco Interstate Light"/>
          <w:lang w:eastAsia="ja-JP"/>
        </w:rPr>
        <w:t xml:space="preserve"> </w:t>
      </w:r>
      <w:proofErr w:type="spellStart"/>
      <w:r>
        <w:rPr>
          <w:rFonts w:ascii="Invesco Interstate Light" w:eastAsia="MS Mincho" w:hAnsi="Invesco Interstate Light"/>
          <w:lang w:eastAsia="ja-JP"/>
        </w:rPr>
        <w:t>Generale</w:t>
      </w:r>
      <w:proofErr w:type="spellEnd"/>
      <w:r>
        <w:rPr>
          <w:rFonts w:ascii="Invesco Interstate Light" w:eastAsia="MS Mincho" w:hAnsi="Invesco Interstate Light"/>
          <w:lang w:eastAsia="ja-JP"/>
        </w:rPr>
        <w:t xml:space="preserve"> </w:t>
      </w:r>
      <w:r w:rsidRPr="00CB2682">
        <w:rPr>
          <w:rFonts w:ascii="Invesco Interstate Light" w:eastAsia="MS Mincho" w:hAnsi="Invesco Interstate Light"/>
          <w:lang w:eastAsia="ja-JP"/>
        </w:rPr>
        <w:t>–</w:t>
      </w:r>
      <w:r>
        <w:rPr>
          <w:rFonts w:ascii="Invesco Interstate Light" w:eastAsia="MS Mincho" w:hAnsi="Invesco Interstate Light"/>
          <w:lang w:eastAsia="ja-JP"/>
        </w:rPr>
        <w:t xml:space="preserve"> 10 % USD, rating BB AT1, splatná v roce 2028.</w:t>
      </w:r>
    </w:p>
    <w:p w14:paraId="18B35CDA" w14:textId="025E51D4" w:rsidR="00CB2682" w:rsidRDefault="00CB2682" w:rsidP="00CB2682">
      <w:pPr>
        <w:pStyle w:val="Odstavecseseznamem"/>
        <w:numPr>
          <w:ilvl w:val="0"/>
          <w:numId w:val="34"/>
        </w:numPr>
        <w:rPr>
          <w:rFonts w:ascii="Invesco Interstate Light" w:eastAsia="MS Mincho" w:hAnsi="Invesco Interstate Light"/>
          <w:lang w:eastAsia="ja-JP"/>
        </w:rPr>
      </w:pPr>
      <w:proofErr w:type="spellStart"/>
      <w:r>
        <w:rPr>
          <w:rFonts w:ascii="Invesco Interstate Light" w:eastAsia="MS Mincho" w:hAnsi="Invesco Interstate Light"/>
          <w:lang w:eastAsia="ja-JP"/>
        </w:rPr>
        <w:t>Barclays</w:t>
      </w:r>
      <w:proofErr w:type="spellEnd"/>
      <w:r>
        <w:rPr>
          <w:rFonts w:ascii="Invesco Interstate Light" w:eastAsia="MS Mincho" w:hAnsi="Invesco Interstate Light"/>
          <w:lang w:eastAsia="ja-JP"/>
        </w:rPr>
        <w:t xml:space="preserve"> </w:t>
      </w:r>
      <w:r w:rsidRPr="00CB2682">
        <w:rPr>
          <w:rFonts w:ascii="Invesco Interstate Light" w:eastAsia="MS Mincho" w:hAnsi="Invesco Interstate Light"/>
          <w:lang w:eastAsia="ja-JP"/>
        </w:rPr>
        <w:t>–</w:t>
      </w:r>
      <w:r>
        <w:rPr>
          <w:rFonts w:ascii="Invesco Interstate Light" w:eastAsia="MS Mincho" w:hAnsi="Invesco Interstate Light"/>
          <w:lang w:eastAsia="ja-JP"/>
        </w:rPr>
        <w:t xml:space="preserve"> 9,625 % USD, rating BB AT1, splatná v roce 2029.</w:t>
      </w:r>
    </w:p>
    <w:p w14:paraId="7DCFE887" w14:textId="1A22DA4D" w:rsidR="00CB2682" w:rsidRPr="00CB2682" w:rsidRDefault="00CB2682" w:rsidP="00CB2682">
      <w:pPr>
        <w:pStyle w:val="Odstavecseseznamem"/>
        <w:numPr>
          <w:ilvl w:val="0"/>
          <w:numId w:val="34"/>
        </w:numPr>
        <w:rPr>
          <w:rFonts w:ascii="Invesco Interstate Light" w:eastAsia="MS Mincho" w:hAnsi="Invesco Interstate Light"/>
          <w:lang w:eastAsia="ja-JP"/>
        </w:rPr>
      </w:pPr>
      <w:r>
        <w:rPr>
          <w:rFonts w:ascii="Invesco Interstate Light" w:eastAsia="MS Mincho" w:hAnsi="Invesco Interstate Light"/>
          <w:lang w:eastAsia="ja-JP"/>
        </w:rPr>
        <w:t xml:space="preserve">AXA </w:t>
      </w:r>
      <w:r w:rsidRPr="00CB2682">
        <w:rPr>
          <w:rFonts w:ascii="Invesco Interstate Light" w:eastAsia="MS Mincho" w:hAnsi="Invesco Interstate Light"/>
          <w:lang w:eastAsia="ja-JP"/>
        </w:rPr>
        <w:t>–</w:t>
      </w:r>
      <w:r>
        <w:rPr>
          <w:rFonts w:ascii="Invesco Interstate Light" w:eastAsia="MS Mincho" w:hAnsi="Invesco Interstate Light"/>
          <w:lang w:eastAsia="ja-JP"/>
        </w:rPr>
        <w:t xml:space="preserve"> 6,375 % EUR, rating BBB+, splatná v roce 2033.</w:t>
      </w:r>
    </w:p>
    <w:p w14:paraId="100D8956" w14:textId="77777777" w:rsidR="00377432" w:rsidRDefault="00377432" w:rsidP="00377432">
      <w:pPr>
        <w:spacing w:line="276" w:lineRule="auto"/>
        <w:jc w:val="both"/>
        <w:rPr>
          <w:rFonts w:ascii="Invesco Interstate Light" w:eastAsia="MS Mincho" w:hAnsi="Invesco Interstate Light"/>
          <w:sz w:val="22"/>
          <w:szCs w:val="22"/>
          <w:lang w:eastAsia="ja-JP"/>
        </w:rPr>
      </w:pPr>
    </w:p>
    <w:p w14:paraId="7EB5001A" w14:textId="6062B6FC" w:rsidR="00206602" w:rsidRPr="00206602" w:rsidRDefault="00206602" w:rsidP="00206602">
      <w:pPr>
        <w:spacing w:line="360" w:lineRule="auto"/>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lastRenderedPageBreak/>
        <w:t xml:space="preserve">Ve fondech se </w:t>
      </w:r>
      <w:r w:rsidRPr="00206602">
        <w:rPr>
          <w:rFonts w:ascii="Invesco Interstate Light" w:eastAsia="MS Mincho" w:hAnsi="Invesco Interstate Light"/>
          <w:sz w:val="22"/>
          <w:szCs w:val="22"/>
          <w:lang w:eastAsia="ja-JP"/>
        </w:rPr>
        <w:t xml:space="preserve">zaměřením na vysoký výnos lze na úrovni emitenta podstoupit o něco větší úvěrové </w:t>
      </w:r>
      <w:r w:rsidR="009E3358" w:rsidRPr="00206602">
        <w:rPr>
          <w:rFonts w:ascii="Invesco Interstate Light" w:eastAsia="MS Mincho" w:hAnsi="Invesco Interstate Light"/>
          <w:sz w:val="22"/>
          <w:szCs w:val="22"/>
          <w:lang w:eastAsia="ja-JP"/>
        </w:rPr>
        <w:t>riziko,</w:t>
      </w:r>
      <w:r w:rsidRPr="00206602">
        <w:rPr>
          <w:rFonts w:ascii="Invesco Interstate Light" w:eastAsia="MS Mincho" w:hAnsi="Invesco Interstate Light"/>
          <w:sz w:val="22"/>
          <w:szCs w:val="22"/>
          <w:lang w:eastAsia="ja-JP"/>
        </w:rPr>
        <w:t xml:space="preserve"> a proto jsou zde příklady jako:</w:t>
      </w:r>
    </w:p>
    <w:p w14:paraId="2D48678A" w14:textId="48EEDFF9" w:rsidR="009E3358" w:rsidRDefault="009E3358" w:rsidP="009E3358">
      <w:pPr>
        <w:pStyle w:val="Odstavecseseznamem"/>
        <w:numPr>
          <w:ilvl w:val="0"/>
          <w:numId w:val="34"/>
        </w:numPr>
        <w:rPr>
          <w:rFonts w:ascii="Invesco Interstate Light" w:eastAsia="MS Mincho" w:hAnsi="Invesco Interstate Light"/>
          <w:lang w:eastAsia="ja-JP"/>
        </w:rPr>
      </w:pPr>
      <w:r>
        <w:rPr>
          <w:rFonts w:ascii="Invesco Interstate Light" w:eastAsia="MS Mincho" w:hAnsi="Invesco Interstate Light"/>
          <w:lang w:eastAsia="ja-JP"/>
        </w:rPr>
        <w:t>Co-</w:t>
      </w:r>
      <w:proofErr w:type="spellStart"/>
      <w:r>
        <w:rPr>
          <w:rFonts w:ascii="Invesco Interstate Light" w:eastAsia="MS Mincho" w:hAnsi="Invesco Interstate Light"/>
          <w:lang w:eastAsia="ja-JP"/>
        </w:rPr>
        <w:t>Operative</w:t>
      </w:r>
      <w:proofErr w:type="spellEnd"/>
      <w:r>
        <w:rPr>
          <w:rFonts w:ascii="Invesco Interstate Light" w:eastAsia="MS Mincho" w:hAnsi="Invesco Interstate Light"/>
          <w:lang w:eastAsia="ja-JP"/>
        </w:rPr>
        <w:t xml:space="preserve"> Bank</w:t>
      </w:r>
      <w:r>
        <w:rPr>
          <w:rFonts w:ascii="Invesco Interstate Light" w:eastAsia="MS Mincho" w:hAnsi="Invesco Interstate Light"/>
          <w:lang w:eastAsia="ja-JP"/>
        </w:rPr>
        <w:t xml:space="preserve"> </w:t>
      </w:r>
      <w:r w:rsidRPr="00CB2682">
        <w:rPr>
          <w:rFonts w:ascii="Invesco Interstate Light" w:eastAsia="MS Mincho" w:hAnsi="Invesco Interstate Light"/>
          <w:lang w:eastAsia="ja-JP"/>
        </w:rPr>
        <w:t>–</w:t>
      </w:r>
      <w:r>
        <w:rPr>
          <w:rFonts w:ascii="Invesco Interstate Light" w:eastAsia="MS Mincho" w:hAnsi="Invesco Interstate Light"/>
          <w:lang w:eastAsia="ja-JP"/>
        </w:rPr>
        <w:t xml:space="preserve"> 1</w:t>
      </w:r>
      <w:r>
        <w:rPr>
          <w:rFonts w:ascii="Invesco Interstate Light" w:eastAsia="MS Mincho" w:hAnsi="Invesco Interstate Light"/>
          <w:lang w:eastAsia="ja-JP"/>
        </w:rPr>
        <w:t>1,75</w:t>
      </w:r>
      <w:r>
        <w:rPr>
          <w:rFonts w:ascii="Invesco Interstate Light" w:eastAsia="MS Mincho" w:hAnsi="Invesco Interstate Light"/>
          <w:lang w:eastAsia="ja-JP"/>
        </w:rPr>
        <w:t xml:space="preserve"> % </w:t>
      </w:r>
      <w:r>
        <w:rPr>
          <w:rFonts w:ascii="Invesco Interstate Light" w:eastAsia="MS Mincho" w:hAnsi="Invesco Interstate Light"/>
          <w:lang w:eastAsia="ja-JP"/>
        </w:rPr>
        <w:t>GBP</w:t>
      </w:r>
      <w:r>
        <w:rPr>
          <w:rFonts w:ascii="Invesco Interstate Light" w:eastAsia="MS Mincho" w:hAnsi="Invesco Interstate Light"/>
          <w:lang w:eastAsia="ja-JP"/>
        </w:rPr>
        <w:t>, rating BB</w:t>
      </w:r>
      <w:r>
        <w:rPr>
          <w:rFonts w:ascii="Invesco Interstate Light" w:eastAsia="MS Mincho" w:hAnsi="Invesco Interstate Light"/>
          <w:lang w:eastAsia="ja-JP"/>
        </w:rPr>
        <w:t>.</w:t>
      </w:r>
      <w:r>
        <w:rPr>
          <w:rFonts w:ascii="Invesco Interstate Light" w:eastAsia="MS Mincho" w:hAnsi="Invesco Interstate Light"/>
          <w:lang w:eastAsia="ja-JP"/>
        </w:rPr>
        <w:t xml:space="preserve"> </w:t>
      </w:r>
      <w:r>
        <w:rPr>
          <w:rFonts w:ascii="Invesco Interstate Light" w:eastAsia="MS Mincho" w:hAnsi="Invesco Interstate Light"/>
          <w:lang w:eastAsia="ja-JP"/>
        </w:rPr>
        <w:t>Podřízený dluhopis se splatností 2034.</w:t>
      </w:r>
    </w:p>
    <w:p w14:paraId="4DB8EFE6" w14:textId="0552D535" w:rsidR="009E3358" w:rsidRDefault="009E3358" w:rsidP="009E3358">
      <w:pPr>
        <w:pStyle w:val="Odstavecseseznamem"/>
        <w:numPr>
          <w:ilvl w:val="0"/>
          <w:numId w:val="34"/>
        </w:numPr>
        <w:rPr>
          <w:rFonts w:ascii="Invesco Interstate Light" w:eastAsia="MS Mincho" w:hAnsi="Invesco Interstate Light"/>
          <w:lang w:eastAsia="ja-JP"/>
        </w:rPr>
      </w:pPr>
      <w:proofErr w:type="spellStart"/>
      <w:r>
        <w:rPr>
          <w:rFonts w:ascii="Invesco Interstate Light" w:eastAsia="MS Mincho" w:hAnsi="Invesco Interstate Light"/>
          <w:lang w:eastAsia="ja-JP"/>
        </w:rPr>
        <w:t>Virgin</w:t>
      </w:r>
      <w:proofErr w:type="spellEnd"/>
      <w:r>
        <w:rPr>
          <w:rFonts w:ascii="Invesco Interstate Light" w:eastAsia="MS Mincho" w:hAnsi="Invesco Interstate Light"/>
          <w:lang w:eastAsia="ja-JP"/>
        </w:rPr>
        <w:t xml:space="preserve"> Money</w:t>
      </w:r>
      <w:r>
        <w:rPr>
          <w:rFonts w:ascii="Invesco Interstate Light" w:eastAsia="MS Mincho" w:hAnsi="Invesco Interstate Light"/>
          <w:lang w:eastAsia="ja-JP"/>
        </w:rPr>
        <w:t xml:space="preserve"> </w:t>
      </w:r>
      <w:r w:rsidRPr="00CB2682">
        <w:rPr>
          <w:rFonts w:ascii="Invesco Interstate Light" w:eastAsia="MS Mincho" w:hAnsi="Invesco Interstate Light"/>
          <w:lang w:eastAsia="ja-JP"/>
        </w:rPr>
        <w:t>–</w:t>
      </w:r>
      <w:r>
        <w:rPr>
          <w:rFonts w:ascii="Invesco Interstate Light" w:eastAsia="MS Mincho" w:hAnsi="Invesco Interstate Light"/>
          <w:lang w:eastAsia="ja-JP"/>
        </w:rPr>
        <w:t xml:space="preserve"> </w:t>
      </w:r>
      <w:r>
        <w:rPr>
          <w:rFonts w:ascii="Invesco Interstate Light" w:eastAsia="MS Mincho" w:hAnsi="Invesco Interstate Light"/>
          <w:lang w:eastAsia="ja-JP"/>
        </w:rPr>
        <w:t>11</w:t>
      </w:r>
      <w:r>
        <w:rPr>
          <w:rFonts w:ascii="Invesco Interstate Light" w:eastAsia="MS Mincho" w:hAnsi="Invesco Interstate Light"/>
          <w:lang w:eastAsia="ja-JP"/>
        </w:rPr>
        <w:t xml:space="preserve"> % </w:t>
      </w:r>
      <w:r>
        <w:rPr>
          <w:rFonts w:ascii="Invesco Interstate Light" w:eastAsia="MS Mincho" w:hAnsi="Invesco Interstate Light"/>
          <w:lang w:eastAsia="ja-JP"/>
        </w:rPr>
        <w:t>GBP</w:t>
      </w:r>
      <w:r>
        <w:rPr>
          <w:rFonts w:ascii="Invesco Interstate Light" w:eastAsia="MS Mincho" w:hAnsi="Invesco Interstate Light"/>
          <w:lang w:eastAsia="ja-JP"/>
        </w:rPr>
        <w:t>, rating BB AT1, splatn</w:t>
      </w:r>
      <w:r>
        <w:rPr>
          <w:rFonts w:ascii="Invesco Interstate Light" w:eastAsia="MS Mincho" w:hAnsi="Invesco Interstate Light"/>
          <w:lang w:eastAsia="ja-JP"/>
        </w:rPr>
        <w:t>ý</w:t>
      </w:r>
      <w:r>
        <w:rPr>
          <w:rFonts w:ascii="Invesco Interstate Light" w:eastAsia="MS Mincho" w:hAnsi="Invesco Interstate Light"/>
          <w:lang w:eastAsia="ja-JP"/>
        </w:rPr>
        <w:t xml:space="preserve"> v roce 2029.</w:t>
      </w:r>
    </w:p>
    <w:p w14:paraId="2B5C0661" w14:textId="77777777" w:rsidR="00377432" w:rsidRDefault="00377432" w:rsidP="00377432">
      <w:pPr>
        <w:spacing w:line="276" w:lineRule="auto"/>
        <w:jc w:val="both"/>
        <w:rPr>
          <w:rFonts w:ascii="Invesco Interstate Light" w:eastAsia="MS Mincho" w:hAnsi="Invesco Interstate Light"/>
          <w:sz w:val="22"/>
          <w:szCs w:val="22"/>
          <w:lang w:eastAsia="ja-JP"/>
        </w:rPr>
      </w:pPr>
    </w:p>
    <w:p w14:paraId="0A22C435" w14:textId="10ED7E03" w:rsidR="009E3358" w:rsidRPr="009E3358" w:rsidRDefault="009E3358" w:rsidP="009E3358">
      <w:pPr>
        <w:spacing w:line="360" w:lineRule="auto"/>
        <w:jc w:val="both"/>
        <w:rPr>
          <w:rFonts w:ascii="Invesco Interstate Light" w:eastAsia="MS Mincho" w:hAnsi="Invesco Interstate Light"/>
          <w:sz w:val="22"/>
          <w:szCs w:val="22"/>
          <w:lang w:eastAsia="ja-JP"/>
        </w:rPr>
      </w:pPr>
      <w:r w:rsidRPr="009E3358">
        <w:rPr>
          <w:rFonts w:ascii="Invesco Interstate Light" w:eastAsia="MS Mincho" w:hAnsi="Invesco Interstate Light"/>
          <w:sz w:val="22"/>
          <w:szCs w:val="22"/>
          <w:lang w:eastAsia="ja-JP"/>
        </w:rPr>
        <w:t>Aby byla zodpovězena dřívější otázka, co může investory zlákat z držby hotovosti</w:t>
      </w:r>
      <w:r>
        <w:rPr>
          <w:rFonts w:ascii="Invesco Interstate Light" w:eastAsia="MS Mincho" w:hAnsi="Invesco Interstate Light"/>
          <w:sz w:val="22"/>
          <w:szCs w:val="22"/>
          <w:lang w:eastAsia="ja-JP"/>
        </w:rPr>
        <w:t xml:space="preserve"> </w:t>
      </w:r>
      <w:r w:rsidRPr="00CB2682">
        <w:rPr>
          <w:rFonts w:ascii="Invesco Interstate Light" w:eastAsia="MS Mincho" w:hAnsi="Invesco Interstate Light"/>
          <w:sz w:val="22"/>
          <w:szCs w:val="22"/>
          <w:lang w:eastAsia="ja-JP"/>
        </w:rPr>
        <w:t>–</w:t>
      </w:r>
      <w:r>
        <w:rPr>
          <w:rFonts w:ascii="Invesco Interstate Light" w:eastAsia="MS Mincho" w:hAnsi="Invesco Interstate Light"/>
          <w:lang w:eastAsia="ja-JP"/>
        </w:rPr>
        <w:t xml:space="preserve"> </w:t>
      </w:r>
      <w:r w:rsidRPr="009E3358">
        <w:rPr>
          <w:rFonts w:ascii="Invesco Interstate Light" w:eastAsia="MS Mincho" w:hAnsi="Invesco Interstate Light"/>
          <w:sz w:val="22"/>
          <w:szCs w:val="22"/>
          <w:lang w:eastAsia="ja-JP"/>
        </w:rPr>
        <w:t xml:space="preserve">v první polovině letošního roku se očekává snížení úrokových sazeb ze strany amerického Federálního rezervního systému, Evropské centrální banky a Bank </w:t>
      </w:r>
      <w:proofErr w:type="spellStart"/>
      <w:r w:rsidRPr="009E3358">
        <w:rPr>
          <w:rFonts w:ascii="Invesco Interstate Light" w:eastAsia="MS Mincho" w:hAnsi="Invesco Interstate Light"/>
          <w:sz w:val="22"/>
          <w:szCs w:val="22"/>
          <w:lang w:eastAsia="ja-JP"/>
        </w:rPr>
        <w:t>of</w:t>
      </w:r>
      <w:proofErr w:type="spellEnd"/>
      <w:r w:rsidRPr="009E3358">
        <w:rPr>
          <w:rFonts w:ascii="Invesco Interstate Light" w:eastAsia="MS Mincho" w:hAnsi="Invesco Interstate Light"/>
          <w:sz w:val="22"/>
          <w:szCs w:val="22"/>
          <w:lang w:eastAsia="ja-JP"/>
        </w:rPr>
        <w:t xml:space="preserve"> </w:t>
      </w:r>
      <w:proofErr w:type="spellStart"/>
      <w:r w:rsidRPr="009E3358">
        <w:rPr>
          <w:rFonts w:ascii="Invesco Interstate Light" w:eastAsia="MS Mincho" w:hAnsi="Invesco Interstate Light"/>
          <w:sz w:val="22"/>
          <w:szCs w:val="22"/>
          <w:lang w:eastAsia="ja-JP"/>
        </w:rPr>
        <w:t>England</w:t>
      </w:r>
      <w:proofErr w:type="spellEnd"/>
      <w:r w:rsidRPr="009E3358">
        <w:rPr>
          <w:rFonts w:ascii="Invesco Interstate Light" w:eastAsia="MS Mincho" w:hAnsi="Invesco Interstate Light"/>
          <w:sz w:val="22"/>
          <w:szCs w:val="22"/>
          <w:lang w:eastAsia="ja-JP"/>
        </w:rPr>
        <w:t>. Klesající úrokové sazby se rychle promítnou do sazeb dosažitelných na spořicích účtech. Na dluhopisových trzích však je i nadále příležitost "uzamknout" atraktivní toky výnosů, které mohou přinášet prospěch fondům po mnoho let, aniž by na sebe braly příliš velké úvěrové riziko. Již lze pozorovat první známky toho, že investoři přesouvají prostředky z hotovosti na dluhopisové trhy, zejména na trhy s dluhopisy investičního stupně.</w:t>
      </w:r>
    </w:p>
    <w:p w14:paraId="72CDCDF0" w14:textId="77777777" w:rsidR="009E3358" w:rsidRPr="009E3358" w:rsidRDefault="009E3358" w:rsidP="009E3358">
      <w:pPr>
        <w:spacing w:line="360" w:lineRule="auto"/>
        <w:jc w:val="both"/>
        <w:rPr>
          <w:rFonts w:ascii="Invesco Interstate Light" w:eastAsia="MS Mincho" w:hAnsi="Invesco Interstate Light"/>
          <w:sz w:val="22"/>
          <w:szCs w:val="22"/>
          <w:lang w:eastAsia="ja-JP"/>
        </w:rPr>
      </w:pP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4"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A82EB4">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835D6" w14:textId="77777777" w:rsidR="00A82EB4" w:rsidRDefault="00A82EB4">
      <w:r>
        <w:separator/>
      </w:r>
    </w:p>
  </w:endnote>
  <w:endnote w:type="continuationSeparator" w:id="0">
    <w:p w14:paraId="764F7AC6" w14:textId="77777777" w:rsidR="00A82EB4" w:rsidRDefault="00A82EB4">
      <w:r>
        <w:continuationSeparator/>
      </w:r>
    </w:p>
  </w:endnote>
  <w:endnote w:type="continuationNotice" w:id="1">
    <w:p w14:paraId="65F7F714" w14:textId="77777777" w:rsidR="00A82EB4" w:rsidRDefault="00A82E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2C6F2" w14:textId="77777777" w:rsidR="00A82EB4" w:rsidRDefault="00A82EB4">
      <w:r>
        <w:separator/>
      </w:r>
    </w:p>
  </w:footnote>
  <w:footnote w:type="continuationSeparator" w:id="0">
    <w:p w14:paraId="629B8E6F" w14:textId="77777777" w:rsidR="00A82EB4" w:rsidRDefault="00A82EB4">
      <w:r>
        <w:continuationSeparator/>
      </w:r>
    </w:p>
  </w:footnote>
  <w:footnote w:type="continuationNotice" w:id="1">
    <w:p w14:paraId="0C041D1B" w14:textId="77777777" w:rsidR="00A82EB4" w:rsidRDefault="00A82E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462558BC" w:rsidR="00702C33" w:rsidRPr="000730A6" w:rsidRDefault="004F3D00"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83625E">
      <w:rPr>
        <w:color w:val="000000"/>
        <w:sz w:val="28"/>
        <w:szCs w:val="28"/>
      </w:rPr>
      <w:t>.</w:t>
    </w:r>
    <w:r>
      <w:rPr>
        <w:color w:val="000000"/>
        <w:sz w:val="28"/>
        <w:szCs w:val="28"/>
      </w:rPr>
      <w:t>4</w:t>
    </w:r>
    <w:r w:rsidR="0083625E">
      <w:rPr>
        <w:color w:val="000000"/>
        <w:sz w:val="28"/>
        <w:szCs w:val="28"/>
      </w:rPr>
      <w:t>.202</w:t>
    </w:r>
    <w:r>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630B23"/>
    <w:multiLevelType w:val="multilevel"/>
    <w:tmpl w:val="11820CCE"/>
    <w:numStyleLink w:val="FormatvorlageAufgezhlt"/>
  </w:abstractNum>
  <w:abstractNum w:abstractNumId="18" w15:restartNumberingAfterBreak="0">
    <w:nsid w:val="52F842E6"/>
    <w:multiLevelType w:val="hybridMultilevel"/>
    <w:tmpl w:val="4BF8F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D403C3"/>
    <w:multiLevelType w:val="multilevel"/>
    <w:tmpl w:val="11820CCE"/>
    <w:numStyleLink w:val="FormatvorlageAufgezhlt"/>
  </w:abstractNum>
  <w:abstractNum w:abstractNumId="25" w15:restartNumberingAfterBreak="0">
    <w:nsid w:val="6C6C4721"/>
    <w:multiLevelType w:val="multilevel"/>
    <w:tmpl w:val="11820CCE"/>
    <w:numStyleLink w:val="FormatvorlageAufgezhlt"/>
  </w:abstractNum>
  <w:abstractNum w:abstractNumId="26"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E5380B"/>
    <w:multiLevelType w:val="multilevel"/>
    <w:tmpl w:val="11820CCE"/>
    <w:numStyleLink w:val="FormatvorlageAufgezhlt"/>
  </w:abstractNum>
  <w:abstractNum w:abstractNumId="2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3"/>
  </w:num>
  <w:num w:numId="3" w16cid:durableId="1282105589">
    <w:abstractNumId w:val="22"/>
  </w:num>
  <w:num w:numId="4" w16cid:durableId="1617441895">
    <w:abstractNumId w:val="14"/>
  </w:num>
  <w:num w:numId="5" w16cid:durableId="1267425896">
    <w:abstractNumId w:val="17"/>
  </w:num>
  <w:num w:numId="6" w16cid:durableId="1792238606">
    <w:abstractNumId w:val="24"/>
  </w:num>
  <w:num w:numId="7" w16cid:durableId="190919629">
    <w:abstractNumId w:val="25"/>
  </w:num>
  <w:num w:numId="8" w16cid:durableId="2083285618">
    <w:abstractNumId w:val="1"/>
  </w:num>
  <w:num w:numId="9" w16cid:durableId="1653213567">
    <w:abstractNumId w:val="27"/>
  </w:num>
  <w:num w:numId="10" w16cid:durableId="849561851">
    <w:abstractNumId w:val="11"/>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2"/>
  </w:num>
  <w:num w:numId="14" w16cid:durableId="2009676695">
    <w:abstractNumId w:val="33"/>
  </w:num>
  <w:num w:numId="15" w16cid:durableId="1629623239">
    <w:abstractNumId w:val="21"/>
  </w:num>
  <w:num w:numId="16" w16cid:durableId="1975720235">
    <w:abstractNumId w:val="7"/>
  </w:num>
  <w:num w:numId="17" w16cid:durableId="103501300">
    <w:abstractNumId w:val="2"/>
  </w:num>
  <w:num w:numId="18" w16cid:durableId="1434014312">
    <w:abstractNumId w:val="23"/>
  </w:num>
  <w:num w:numId="19" w16cid:durableId="832065860">
    <w:abstractNumId w:val="26"/>
  </w:num>
  <w:num w:numId="20" w16cid:durableId="667943464">
    <w:abstractNumId w:val="30"/>
  </w:num>
  <w:num w:numId="21" w16cid:durableId="225343112">
    <w:abstractNumId w:val="29"/>
  </w:num>
  <w:num w:numId="22" w16cid:durableId="1319532336">
    <w:abstractNumId w:val="10"/>
  </w:num>
  <w:num w:numId="23" w16cid:durableId="1341154147">
    <w:abstractNumId w:val="20"/>
  </w:num>
  <w:num w:numId="24" w16cid:durableId="796413596">
    <w:abstractNumId w:val="15"/>
  </w:num>
  <w:num w:numId="25" w16cid:durableId="2010979537">
    <w:abstractNumId w:val="31"/>
  </w:num>
  <w:num w:numId="26" w16cid:durableId="951936802">
    <w:abstractNumId w:val="19"/>
  </w:num>
  <w:num w:numId="27" w16cid:durableId="1672954226">
    <w:abstractNumId w:val="3"/>
  </w:num>
  <w:num w:numId="28" w16cid:durableId="953906591">
    <w:abstractNumId w:val="5"/>
  </w:num>
  <w:num w:numId="29" w16cid:durableId="923606003">
    <w:abstractNumId w:val="28"/>
  </w:num>
  <w:num w:numId="30" w16cid:durableId="251279824">
    <w:abstractNumId w:val="9"/>
  </w:num>
  <w:num w:numId="31" w16cid:durableId="561334413">
    <w:abstractNumId w:val="6"/>
  </w:num>
  <w:num w:numId="32" w16cid:durableId="1464276347">
    <w:abstractNumId w:val="12"/>
  </w:num>
  <w:num w:numId="33" w16cid:durableId="514879310">
    <w:abstractNumId w:val="18"/>
  </w:num>
  <w:num w:numId="34" w16cid:durableId="511531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1216</Words>
  <Characters>7175</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14</cp:revision>
  <cp:lastPrinted>2021-02-17T20:24:00Z</cp:lastPrinted>
  <dcterms:created xsi:type="dcterms:W3CDTF">2024-04-02T08:40:00Z</dcterms:created>
  <dcterms:modified xsi:type="dcterms:W3CDTF">2024-04-02T09:15:00Z</dcterms:modified>
</cp:coreProperties>
</file>